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7585F3C1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EE51785" w14:textId="7E05C3E7" w:rsidR="009A0B94" w:rsidRPr="00311B9B" w:rsidRDefault="009A0B94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11B9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…………………….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BF51C8" w:rsidR="00E62519" w:rsidRPr="00311B9B" w:rsidRDefault="00E62519" w:rsidP="002505CA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505CA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Mgr. Bohuslavem Hudcem, náměstkem hejtmana </w:t>
      </w:r>
    </w:p>
    <w:p w14:paraId="6F420F65" w14:textId="06FB3606" w:rsidR="00E62519" w:rsidRPr="00311B9B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311B9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6B7465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311B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7724A32F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, splnil-li příjemce podmínku doručení podkladů dle odst. 9.12. Pravidel poskytovateli</w:t>
      </w:r>
      <w:r w:rsidR="009A0B94"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0B94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Schválil-li řídící orgán poskytovatele příjemci prodloužení lhůty pro dodání podkladů 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odst. 9.12 Pravidel, bude dotace poskytnuta do 21 dnů ode dne doručení těchto podkladů v prodloužené lhůtě poskytovateli.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31261F6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investiční/neinvestiční</w:t>
      </w:r>
      <w:r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E8B2472" w:rsidR="00001074" w:rsidRPr="009A0B9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09_03 Podpora výstavby, obnovy a vybavení dětských dopravních hřišť 2025.</w:t>
      </w:r>
      <w:r w:rsidR="00ED68BB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BD130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11B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11B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4DDC9DD" w:rsidR="009A3DA5" w:rsidRPr="00311B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FB071E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74 a</w:t>
      </w:r>
      <w:r w:rsidR="00AF584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FB071E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ZDPH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C3597DE" w:rsidR="009A3DA5" w:rsidRPr="009A0B9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F0FF885" w:rsidR="001455CD" w:rsidRPr="009A0B9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7A2F9C0" w14:textId="77777777" w:rsidR="00311B9B" w:rsidRDefault="009A3DA5" w:rsidP="00311B9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9A0B94"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71F824A6" w:rsidR="009A3DA5" w:rsidRPr="00957345" w:rsidRDefault="009A3DA5" w:rsidP="00311B9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A0B94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1. 1. 2025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CA5863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E31D2B6" w:rsidR="00CB5336" w:rsidRPr="009A0B94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11B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95171B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A0B9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4483D8F6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A0B94"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A0B9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9A8F58F" w:rsidR="00D05376" w:rsidRPr="00957345" w:rsidRDefault="00F32B92" w:rsidP="00311B9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</w:t>
      </w:r>
      <w:r w:rsidR="004F66DA" w:rsidRPr="00311B9B">
        <w:rPr>
          <w:rFonts w:ascii="Arial" w:hAnsi="Arial" w:cs="Arial"/>
          <w:sz w:val="24"/>
          <w:szCs w:val="24"/>
        </w:rPr>
        <w:t>.</w:t>
      </w:r>
      <w:r w:rsidR="004F66DA" w:rsidRPr="00311B9B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2505CA" w:rsidRPr="00311B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311B9B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0B5E3DCC" w14:textId="068D4A21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</w:t>
      </w:r>
      <w:r w:rsidR="00745B4E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4CCDFEF7" w:rsidR="00A9730D" w:rsidRPr="00311B9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fotokopiemi 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faktur s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 vyfakturovanými uznatelnými výdaji akce včetně zjišťovacího protokolu</w:t>
      </w:r>
      <w:r w:rsidR="00522D37">
        <w:rPr>
          <w:rFonts w:ascii="Arial" w:eastAsia="Times New Roman" w:hAnsi="Arial" w:cs="Arial"/>
          <w:sz w:val="24"/>
          <w:szCs w:val="24"/>
          <w:lang w:eastAsia="cs-CZ"/>
        </w:rPr>
        <w:t>/soupisu prací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u stavebních prací, případně dodacího listu u pořízení movitého majetku,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popřípadě jiných účetních dokladů včetně příloh, prokazujících vynaložení výdajů,</w:t>
      </w:r>
    </w:p>
    <w:p w14:paraId="6A6233AD" w14:textId="77777777" w:rsidR="00A9730D" w:rsidRPr="00311B9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960F032" w:rsidR="00A9730D" w:rsidRPr="00311B9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FA0C1DE" w14:textId="77777777" w:rsidR="009A0B94" w:rsidRPr="00311B9B" w:rsidRDefault="009A0B94" w:rsidP="009A0B9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16EBA334" w14:textId="1F7C29D6" w:rsidR="009A0B94" w:rsidRPr="00311B9B" w:rsidRDefault="009A0B94" w:rsidP="009A0B9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29729F86" w14:textId="33813405" w:rsidR="009A0B94" w:rsidRPr="00311B9B" w:rsidRDefault="009A0B94" w:rsidP="009A0B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předložení vyúčtování předloží příjemce poskytovateli také závěrečnou zprávu, a to jako přílohu vyúčtování dotace prostřednictvím systému RAP, v němž příjemce podal žádost o poskytnutí této dotace. </w:t>
      </w:r>
    </w:p>
    <w:p w14:paraId="2D5EA588" w14:textId="3888932C" w:rsidR="009A0B94" w:rsidRPr="00311B9B" w:rsidRDefault="009A0B94" w:rsidP="009A0B9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V příloze vyúčtování je příjemce povinen předložit poskytovateli</w:t>
      </w:r>
      <w:r w:rsidR="00311B9B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230121AF" w14:textId="5C9217FB" w:rsidR="009A0B94" w:rsidRPr="00311B9B" w:rsidRDefault="009A0B94" w:rsidP="009A0B94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7D75F0CA" w14:textId="371114E0" w:rsidR="009A0B94" w:rsidRPr="00311B9B" w:rsidRDefault="009A0B94" w:rsidP="009A0B94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 (týká se pouze akcí se stavebním povolením),</w:t>
      </w:r>
    </w:p>
    <w:p w14:paraId="30A37AC2" w14:textId="4CE91A49" w:rsidR="009A0B94" w:rsidRPr="00311B9B" w:rsidRDefault="009A0B94" w:rsidP="009A0B94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po ukončení realizace akce (minimálně dvě fotografie </w:t>
      </w:r>
      <w:r w:rsidR="002505C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ke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 každé fáz</w:t>
      </w:r>
      <w:r w:rsidR="002505CA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),</w:t>
      </w:r>
    </w:p>
    <w:p w14:paraId="0726C632" w14:textId="63F88A6F" w:rsidR="00A9730D" w:rsidRPr="00311B9B" w:rsidRDefault="009A0B94" w:rsidP="009A0B94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7DE0E41D" w:rsidR="00A9730D" w:rsidRPr="00311B9B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11B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311B9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311B9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11B9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311B9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61ADA5B" w:rsidR="009A3DA5" w:rsidRPr="00311B9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9A0B9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9A0B94" w:rsidRPr="00311B9B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311B9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A0B94" w:rsidRPr="00311B9B">
        <w:rPr>
          <w:rFonts w:ascii="Arial" w:hAnsi="Arial" w:cs="Arial"/>
          <w:sz w:val="24"/>
          <w:szCs w:val="24"/>
        </w:rPr>
        <w:t>27-4228320287/0100</w:t>
      </w:r>
      <w:r w:rsidR="00D40813" w:rsidRPr="00311B9B">
        <w:rPr>
          <w:rFonts w:ascii="Arial" w:hAnsi="Arial" w:cs="Arial"/>
          <w:sz w:val="24"/>
          <w:szCs w:val="24"/>
        </w:rPr>
        <w:t>.</w:t>
      </w:r>
      <w:r w:rsidR="00AE30DE" w:rsidRPr="00311B9B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75A4B64D" w14:textId="1EB1D623" w:rsidR="009A0B94" w:rsidRPr="00311B9B" w:rsidRDefault="009A0B94" w:rsidP="009A0B94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při podpisu smlouvy předložit:</w:t>
      </w:r>
    </w:p>
    <w:p w14:paraId="4AF2AFD1" w14:textId="77777777" w:rsidR="009A0B94" w:rsidRPr="00311B9B" w:rsidRDefault="009A0B94" w:rsidP="009A0B9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11B9B">
        <w:rPr>
          <w:rFonts w:ascii="Arial" w:hAnsi="Arial" w:cs="Arial"/>
          <w:sz w:val="24"/>
          <w:szCs w:val="24"/>
        </w:rPr>
        <w:t xml:space="preserve">doložku příslušného orgánu obce (příjemce dotace) oprávněného </w:t>
      </w:r>
      <w:r w:rsidRPr="00311B9B">
        <w:rPr>
          <w:rFonts w:ascii="Arial" w:hAnsi="Arial" w:cs="Arial"/>
          <w:sz w:val="24"/>
          <w:szCs w:val="24"/>
        </w:rPr>
        <w:br/>
        <w:t>ke schválení přijetí dotace a k uzavření veřejnoprávní smlouvy,</w:t>
      </w:r>
    </w:p>
    <w:p w14:paraId="5B4FCAE7" w14:textId="77777777" w:rsidR="009A0B94" w:rsidRPr="00311B9B" w:rsidRDefault="009A0B94" w:rsidP="009A0B94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11B9B">
        <w:rPr>
          <w:rFonts w:ascii="Arial" w:hAnsi="Arial" w:cs="Arial"/>
          <w:sz w:val="24"/>
          <w:szCs w:val="24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1F27E1ED" w14:textId="654F581E" w:rsidR="009A0B94" w:rsidRPr="00311B9B" w:rsidRDefault="009A0B94" w:rsidP="009A0B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hAnsi="Arial" w:cs="Arial"/>
          <w:sz w:val="24"/>
          <w:szCs w:val="24"/>
        </w:rPr>
        <w:lastRenderedPageBreak/>
        <w:t xml:space="preserve">V případě nedoložení podkladů dle písm. b) při </w:t>
      </w:r>
      <w:r w:rsidR="00745B4E" w:rsidRPr="00311B9B">
        <w:rPr>
          <w:rFonts w:ascii="Arial" w:hAnsi="Arial" w:cs="Arial"/>
          <w:sz w:val="24"/>
          <w:szCs w:val="24"/>
        </w:rPr>
        <w:t>doručení oboustranně podepsaného návrhu smlouvy nebo v případě prodloužení lhůty pro předložení podkladů dle písm. b) na základě rozhodnutí orgánů kraje v poslední den této lhůty je smlouva od počátku neplatná a poskytnutí dotace se</w:t>
      </w:r>
      <w:r w:rsidRPr="00311B9B">
        <w:rPr>
          <w:rFonts w:ascii="Arial" w:hAnsi="Arial" w:cs="Arial"/>
          <w:sz w:val="24"/>
          <w:szCs w:val="24"/>
        </w:rPr>
        <w:t xml:space="preserve"> </w:t>
      </w:r>
      <w:r w:rsidR="00745B4E" w:rsidRPr="00311B9B">
        <w:rPr>
          <w:rFonts w:ascii="Arial" w:hAnsi="Arial" w:cs="Arial"/>
          <w:sz w:val="24"/>
          <w:szCs w:val="24"/>
        </w:rPr>
        <w:t xml:space="preserve">dále </w:t>
      </w:r>
      <w:r w:rsidRPr="00311B9B">
        <w:rPr>
          <w:rFonts w:ascii="Arial" w:hAnsi="Arial" w:cs="Arial"/>
          <w:sz w:val="24"/>
          <w:szCs w:val="24"/>
        </w:rPr>
        <w:t>řídí odst. 9.12. Pravidel dotačního programu 09_03 Podpora výstavby, obnovy a vybavení dětských dopravních hřišť 202</w:t>
      </w:r>
      <w:r w:rsidR="002505CA" w:rsidRPr="00311B9B">
        <w:rPr>
          <w:rFonts w:ascii="Arial" w:hAnsi="Arial" w:cs="Arial"/>
          <w:sz w:val="24"/>
          <w:szCs w:val="24"/>
        </w:rPr>
        <w:t>5</w:t>
      </w:r>
      <w:r w:rsidRPr="00311B9B">
        <w:rPr>
          <w:rFonts w:ascii="Arial" w:hAnsi="Arial" w:cs="Arial"/>
          <w:sz w:val="24"/>
          <w:szCs w:val="24"/>
        </w:rPr>
        <w:t>.</w:t>
      </w:r>
    </w:p>
    <w:p w14:paraId="5946C485" w14:textId="6ED95B1F" w:rsidR="00D86546" w:rsidRPr="00311B9B" w:rsidRDefault="00836AA2" w:rsidP="00D8654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D86546" w:rsidRPr="00311B9B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 po dobu realizace akce a po celý následující kalendářní rok od ukončení akce</w:t>
      </w:r>
      <w:r w:rsidR="00311B9B">
        <w:rPr>
          <w:rFonts w:ascii="Arial" w:eastAsia="Times New Roman" w:hAnsi="Arial" w:cs="Arial"/>
          <w:sz w:val="24"/>
          <w:szCs w:val="24"/>
          <w:lang w:eastAsia="cs-CZ"/>
        </w:rPr>
        <w:t>. Ukončením akce se rozumí den uvedení do provozu. D</w:t>
      </w:r>
      <w:r w:rsidR="00D86546" w:rsidRPr="00311B9B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materiály, vztahující se k účelu dotace, logem poskytovatele (jsou-li vydávány), a umístit reklamní panel nebo obdobné zařízení do místa, ve kterém je realizována podpořená akce</w:t>
      </w:r>
      <w:r w:rsidR="00311B9B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za</w:t>
      </w:r>
      <w:r w:rsidR="00D86546"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následujících podmínek:</w:t>
      </w:r>
    </w:p>
    <w:p w14:paraId="0AEE0992" w14:textId="77777777" w:rsidR="00D86546" w:rsidRPr="00311B9B" w:rsidRDefault="00D86546" w:rsidP="00D86546">
      <w:pPr>
        <w:pStyle w:val="Odstavecseseznamem"/>
        <w:numPr>
          <w:ilvl w:val="0"/>
          <w:numId w:val="45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68F1E50D" w14:textId="3BD84D66" w:rsidR="00D86546" w:rsidRPr="00311B9B" w:rsidRDefault="00D86546" w:rsidP="00D86546">
      <w:pPr>
        <w:pStyle w:val="Odstavecseseznamem"/>
        <w:numPr>
          <w:ilvl w:val="0"/>
          <w:numId w:val="45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 a po dobu minimálně následujících 5 let</w:t>
      </w:r>
      <w:r w:rsidR="00745B4E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na dobře viditelném veřejně přístupném místě v místě realizace akce,</w:t>
      </w:r>
    </w:p>
    <w:p w14:paraId="2C3FEDF1" w14:textId="77777777" w:rsidR="00D86546" w:rsidRPr="00311B9B" w:rsidRDefault="00D86546" w:rsidP="00D8654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br/>
        <w:t>a nápisem oznamujícím, že Olomoucký kraj finančně přispěl na realizaci akce včetně názvu akce.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1D0545E7" w:rsidR="009A3DA5" w:rsidRPr="00D86546" w:rsidRDefault="009A3DA5" w:rsidP="00D86546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654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F88EFBD" w:rsidR="009A3DA5" w:rsidRPr="00957345" w:rsidRDefault="009A3DA5" w:rsidP="00D8654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745B4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BBBFEE4" w:rsidR="001D30FE" w:rsidRPr="00957345" w:rsidRDefault="001D30FE" w:rsidP="00D86546">
      <w:pPr>
        <w:numPr>
          <w:ilvl w:val="0"/>
          <w:numId w:val="34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36D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453206F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36D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8F6D98" w:rsidRPr="00311B9B">
        <w:rPr>
          <w:rFonts w:ascii="Arial" w:hAnsi="Arial" w:cs="Arial"/>
          <w:sz w:val="24"/>
          <w:szCs w:val="24"/>
          <w:lang w:eastAsia="cs-CZ"/>
        </w:rPr>
        <w:t xml:space="preserve">platnosti dnem jejího uzavření a </w:t>
      </w:r>
      <w:r w:rsidRPr="00311B9B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F7DF1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174A4" w:rsidRPr="00311B9B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5E22AE1A" w:rsidR="00FE3DFD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311B9B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983E09" w:rsidRPr="00311B9B">
        <w:rPr>
          <w:rFonts w:ascii="Arial" w:eastAsia="Times New Roman" w:hAnsi="Arial" w:cs="Arial"/>
          <w:b/>
          <w:sz w:val="28"/>
          <w:szCs w:val="28"/>
          <w:lang w:eastAsia="cs-CZ"/>
        </w:rPr>
        <w:t>á</w:t>
      </w:r>
      <w:r w:rsidRPr="00311B9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4315193C" w14:textId="3D52DCF1" w:rsidR="00311B9B" w:rsidRPr="009A0B94" w:rsidRDefault="00D86546" w:rsidP="00311B9B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trike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31. 1. 2026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4660D83" w14:textId="77777777" w:rsidR="00D86546" w:rsidRPr="00957345" w:rsidRDefault="00D86546" w:rsidP="00D8654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2025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439E7E12" w14:textId="77777777" w:rsidR="00D86546" w:rsidRPr="00957345" w:rsidRDefault="00D86546" w:rsidP="00D86546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2575E98" w14:textId="77777777" w:rsidR="00D86546" w:rsidRPr="005B4047" w:rsidRDefault="00D86546" w:rsidP="00D86546">
      <w:pPr>
        <w:numPr>
          <w:ilvl w:val="0"/>
          <w:numId w:val="4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odstraní příjemce </w:t>
      </w:r>
      <w:r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CD4AFD4" w14:textId="77777777" w:rsidR="00D86546" w:rsidRPr="00957345" w:rsidRDefault="00D86546" w:rsidP="00D8654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66A4436" w14:textId="4005F8FE" w:rsidR="00D86546" w:rsidRPr="00957345" w:rsidRDefault="00D86546" w:rsidP="00311B9B">
      <w:pPr>
        <w:pStyle w:val="Odstavecseseznamem"/>
        <w:numPr>
          <w:ilvl w:val="1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>
        <w:rPr>
          <w:rFonts w:ascii="Arial" w:hAnsi="Arial" w:cs="Arial"/>
          <w:sz w:val="24"/>
          <w:szCs w:val="24"/>
        </w:rPr>
        <w:t>10</w:t>
      </w:r>
      <w:r w:rsidRPr="00311B9B">
        <w:rPr>
          <w:rFonts w:ascii="Arial" w:hAnsi="Arial" w:cs="Arial"/>
          <w:sz w:val="24"/>
          <w:szCs w:val="24"/>
        </w:rPr>
        <w:t>.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2505CA" w:rsidRPr="00311B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11B9B">
        <w:rPr>
          <w:rFonts w:ascii="Arial" w:hAnsi="Arial" w:cs="Arial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Pravidel.</w:t>
      </w:r>
    </w:p>
    <w:p w14:paraId="50BD0E8E" w14:textId="6BEBF93E" w:rsidR="00D86546" w:rsidRPr="00957345" w:rsidRDefault="00D86546" w:rsidP="00D86546">
      <w:pPr>
        <w:pStyle w:val="Odstavecseseznamem"/>
        <w:numPr>
          <w:ilvl w:val="1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</w:t>
      </w:r>
      <w:r w:rsidR="00745B4E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7FE43CE4" w14:textId="085E8A14" w:rsidR="00D86546" w:rsidRPr="00311B9B" w:rsidRDefault="00D86546" w:rsidP="00745B4E">
      <w:pPr>
        <w:numPr>
          <w:ilvl w:val="0"/>
          <w:numId w:val="4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fotokopiemi všech faktur s vyfakturovanými uznatelnými výdaji akce včetně zjišťovacího protokolu</w:t>
      </w:r>
      <w:r w:rsidR="0095725A">
        <w:rPr>
          <w:rFonts w:ascii="Arial" w:eastAsia="Times New Roman" w:hAnsi="Arial" w:cs="Arial"/>
          <w:sz w:val="24"/>
          <w:szCs w:val="24"/>
          <w:lang w:eastAsia="cs-CZ"/>
        </w:rPr>
        <w:t>/soupisu prací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u stavebních pracích, případně dodacího listu u pořízení movitého majetku, popřípadě jiných účetních dokladů včetně příloh, prokazujících vynaložení výdajů,</w:t>
      </w:r>
    </w:p>
    <w:p w14:paraId="7200F8D3" w14:textId="402DEEB5" w:rsidR="00D86546" w:rsidRPr="00311B9B" w:rsidRDefault="00D86546" w:rsidP="00745B4E">
      <w:pPr>
        <w:numPr>
          <w:ilvl w:val="0"/>
          <w:numId w:val="4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2505CA" w:rsidRPr="00311B9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2A56BC8D" w14:textId="77777777" w:rsidR="00D86546" w:rsidRPr="00311B9B" w:rsidRDefault="00D86546" w:rsidP="00745B4E">
      <w:pPr>
        <w:numPr>
          <w:ilvl w:val="0"/>
          <w:numId w:val="4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8C377A" w14:textId="77777777" w:rsidR="00D86546" w:rsidRPr="00311B9B" w:rsidRDefault="00D86546" w:rsidP="00745B4E">
      <w:pPr>
        <w:numPr>
          <w:ilvl w:val="0"/>
          <w:numId w:val="4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0A391D63" w14:textId="77777777" w:rsidR="00D86546" w:rsidRPr="00311B9B" w:rsidRDefault="00D86546" w:rsidP="00745B4E">
      <w:pPr>
        <w:numPr>
          <w:ilvl w:val="0"/>
          <w:numId w:val="4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609DF4BC" w14:textId="39A095FD" w:rsidR="00D86546" w:rsidRPr="00311B9B" w:rsidRDefault="00D86546" w:rsidP="00D865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předložení vyúčtování předloží příjemce poskytovateli také závěrečnou zprávu, a to jako přílohu vyúčtování dotace prostřednictvím systému RAP, v němž příjemce podal žádost o poskytnutí této dotace. </w:t>
      </w:r>
    </w:p>
    <w:p w14:paraId="26C2C603" w14:textId="27174B6C" w:rsidR="00D86546" w:rsidRPr="00311B9B" w:rsidRDefault="00D86546" w:rsidP="00D8654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11B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V příloze vyúčtování je příjemce povinen předložit poskytovateli</w:t>
      </w:r>
      <w:r w:rsidR="00311B9B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19332248" w14:textId="77777777" w:rsidR="00D86546" w:rsidRPr="00311B9B" w:rsidRDefault="00D86546" w:rsidP="002505CA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59B6D8AE" w14:textId="77777777" w:rsidR="00D86546" w:rsidRPr="00311B9B" w:rsidRDefault="00D86546" w:rsidP="002505CA">
      <w:pPr>
        <w:pStyle w:val="Odstavecseseznamem"/>
        <w:numPr>
          <w:ilvl w:val="0"/>
          <w:numId w:val="47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 (týká se pouze akcí se stavebním povolením),</w:t>
      </w:r>
    </w:p>
    <w:p w14:paraId="56A371B6" w14:textId="77777777" w:rsidR="00D86546" w:rsidRPr="00311B9B" w:rsidRDefault="00D86546" w:rsidP="002505CA">
      <w:pPr>
        <w:pStyle w:val="Odstavecseseznamem"/>
        <w:numPr>
          <w:ilvl w:val="0"/>
          <w:numId w:val="47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po ukončení realizace akce (minimálně dvě fotografie z každé fáze),</w:t>
      </w:r>
    </w:p>
    <w:p w14:paraId="574E3F8A" w14:textId="77777777" w:rsidR="00D86546" w:rsidRPr="00311B9B" w:rsidRDefault="00D86546" w:rsidP="002505CA">
      <w:pPr>
        <w:pStyle w:val="Odstavecseseznamem"/>
        <w:numPr>
          <w:ilvl w:val="0"/>
          <w:numId w:val="47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11B9B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549AC1FC" w14:textId="716543AD" w:rsidR="00A34824" w:rsidRPr="00311B9B" w:rsidRDefault="00FE3DFD" w:rsidP="00CE719F">
      <w:pPr>
        <w:pStyle w:val="Odstavecseseznamem"/>
        <w:numPr>
          <w:ilvl w:val="0"/>
          <w:numId w:val="16"/>
        </w:numPr>
        <w:tabs>
          <w:tab w:val="left" w:pos="540"/>
        </w:tabs>
        <w:spacing w:after="120"/>
        <w:contextualSpacing w:val="0"/>
        <w:rPr>
          <w:rFonts w:ascii="Arial" w:eastAsia="Times New Roman" w:hAnsi="Arial" w:cs="Arial"/>
          <w:strike/>
          <w:lang w:eastAsia="cs-CZ"/>
        </w:rPr>
      </w:pPr>
      <w:r w:rsidRPr="00311B9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11B9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11B9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311B9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11B9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11B9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11B9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311B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A34824" w:rsidRPr="00311B9B" w:rsidSect="00FA2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0497" w14:textId="77777777" w:rsidR="00C0496D" w:rsidRDefault="00C0496D" w:rsidP="00D40C40">
      <w:r>
        <w:separator/>
      </w:r>
    </w:p>
  </w:endnote>
  <w:endnote w:type="continuationSeparator" w:id="0">
    <w:p w14:paraId="49157D05" w14:textId="77777777" w:rsidR="00C0496D" w:rsidRDefault="00C049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4A07" w14:textId="77777777" w:rsidR="00FA256A" w:rsidRDefault="00FA25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9C0C" w14:textId="105D10CF" w:rsidR="00FA256A" w:rsidRPr="00A3539E" w:rsidRDefault="00B277C7" w:rsidP="00FA256A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A256A">
      <w:rPr>
        <w:rFonts w:ascii="Arial" w:hAnsi="Arial" w:cs="Arial"/>
        <w:i/>
        <w:iCs/>
        <w:sz w:val="20"/>
        <w:szCs w:val="20"/>
      </w:rPr>
      <w:t xml:space="preserve"> </w:t>
    </w:r>
    <w:r w:rsidR="00FA256A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FA256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FA256A">
      <w:rPr>
        <w:rFonts w:ascii="Arial" w:hAnsi="Arial" w:cs="Arial"/>
        <w:i/>
        <w:iCs/>
        <w:sz w:val="20"/>
        <w:szCs w:val="20"/>
      </w:rPr>
      <w:t>. 2024</w:t>
    </w:r>
    <w:r w:rsidR="00FA256A">
      <w:rPr>
        <w:rFonts w:ascii="Arial" w:hAnsi="Arial" w:cs="Arial"/>
        <w:i/>
        <w:iCs/>
        <w:sz w:val="20"/>
        <w:szCs w:val="20"/>
      </w:rPr>
      <w:tab/>
    </w:r>
    <w:r w:rsidR="00FA256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A256A" w:rsidRPr="00A3539E">
      <w:rPr>
        <w:rStyle w:val="slostrnky"/>
        <w:rFonts w:cs="Arial"/>
        <w:i/>
        <w:iCs/>
      </w:rPr>
      <w:fldChar w:fldCharType="begin"/>
    </w:r>
    <w:r w:rsidR="00FA256A" w:rsidRPr="00A3539E">
      <w:rPr>
        <w:rStyle w:val="slostrnky"/>
        <w:rFonts w:cs="Arial"/>
        <w:i/>
        <w:iCs/>
      </w:rPr>
      <w:instrText xml:space="preserve"> PAGE </w:instrText>
    </w:r>
    <w:r w:rsidR="00FA256A" w:rsidRPr="00A3539E">
      <w:rPr>
        <w:rStyle w:val="slostrnky"/>
        <w:rFonts w:cs="Arial"/>
        <w:i/>
        <w:iCs/>
      </w:rPr>
      <w:fldChar w:fldCharType="separate"/>
    </w:r>
    <w:r w:rsidR="00FA256A">
      <w:rPr>
        <w:rStyle w:val="slostrnky"/>
        <w:rFonts w:cs="Arial"/>
        <w:i/>
        <w:iCs/>
      </w:rPr>
      <w:t>3</w:t>
    </w:r>
    <w:r w:rsidR="00FA256A" w:rsidRPr="00A3539E">
      <w:rPr>
        <w:rStyle w:val="slostrnky"/>
        <w:rFonts w:cs="Arial"/>
        <w:i/>
        <w:iCs/>
      </w:rPr>
      <w:fldChar w:fldCharType="end"/>
    </w:r>
    <w:r w:rsidR="00FA256A" w:rsidRPr="00A3539E">
      <w:rPr>
        <w:rStyle w:val="slostrnky"/>
        <w:rFonts w:cs="Arial"/>
        <w:i/>
        <w:iCs/>
      </w:rPr>
      <w:t xml:space="preserve"> (celkem</w:t>
    </w:r>
    <w:r w:rsidR="00FA256A">
      <w:rPr>
        <w:rStyle w:val="slostrnky"/>
        <w:rFonts w:cs="Arial"/>
        <w:i/>
        <w:iCs/>
      </w:rPr>
      <w:t xml:space="preserve"> 50</w:t>
    </w:r>
    <w:r w:rsidR="00FA256A" w:rsidRPr="0070420D">
      <w:rPr>
        <w:rStyle w:val="slostrnky"/>
        <w:rFonts w:cs="Arial"/>
        <w:i/>
        <w:iCs/>
      </w:rPr>
      <w:t>)</w:t>
    </w:r>
  </w:p>
  <w:p w14:paraId="73BE4C64" w14:textId="0722D96A" w:rsidR="00FA256A" w:rsidRDefault="00B277C7" w:rsidP="00FA256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680051">
      <w:rPr>
        <w:rFonts w:ascii="Arial" w:hAnsi="Arial" w:cs="Arial"/>
        <w:i/>
        <w:iCs/>
        <w:sz w:val="20"/>
        <w:szCs w:val="20"/>
      </w:rPr>
      <w:t>.</w:t>
    </w:r>
    <w:r w:rsidR="00FA256A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FA256A">
      <w:rPr>
        <w:rFonts w:ascii="Arial" w:hAnsi="Arial" w:cs="Arial"/>
        <w:i/>
        <w:iCs/>
        <w:sz w:val="20"/>
        <w:szCs w:val="20"/>
      </w:rPr>
      <w:t xml:space="preserve">Dotační program 09_03 </w:t>
    </w:r>
    <w:r w:rsidR="00FA256A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FA256A">
      <w:rPr>
        <w:rFonts w:ascii="Arial" w:hAnsi="Arial" w:cs="Arial"/>
        <w:i/>
        <w:iCs/>
        <w:sz w:val="20"/>
        <w:szCs w:val="20"/>
      </w:rPr>
      <w:t>5 – vyhlášení</w:t>
    </w:r>
  </w:p>
  <w:p w14:paraId="2F54DDE2" w14:textId="1E258D58" w:rsidR="00FA256A" w:rsidRPr="00FA256A" w:rsidRDefault="00FA256A" w:rsidP="00FA256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2: Vzorová veřejnoprávní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035C" w14:textId="77777777" w:rsidR="00C0496D" w:rsidRDefault="00C0496D" w:rsidP="00D40C40">
      <w:r>
        <w:separator/>
      </w:r>
    </w:p>
  </w:footnote>
  <w:footnote w:type="continuationSeparator" w:id="0">
    <w:p w14:paraId="2DCF6285" w14:textId="77777777" w:rsidR="00C0496D" w:rsidRDefault="00C0496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3751" w14:textId="77777777" w:rsidR="00FA256A" w:rsidRDefault="00FA25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6F92" w14:textId="7CEF09AF" w:rsidR="00FA256A" w:rsidRDefault="00FA256A" w:rsidP="00FA256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2</w:t>
    </w:r>
  </w:p>
  <w:p w14:paraId="795374BC" w14:textId="6B93942D" w:rsidR="00FA256A" w:rsidRPr="00FA256A" w:rsidRDefault="00FA256A" w:rsidP="00FA256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FC3A" w14:textId="77777777" w:rsidR="00FA256A" w:rsidRDefault="00FA25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91C47F0A"/>
    <w:lvl w:ilvl="0" w:tplc="15F0FC32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10E3"/>
    <w:multiLevelType w:val="hybridMultilevel"/>
    <w:tmpl w:val="30AA608A"/>
    <w:lvl w:ilvl="0" w:tplc="166ED33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6642"/>
    <w:multiLevelType w:val="multilevel"/>
    <w:tmpl w:val="F718F83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BBAA1C68"/>
    <w:lvl w:ilvl="0" w:tplc="0C6E2D32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1E84F2FE"/>
    <w:lvl w:ilvl="0" w:tplc="B47A320E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9440AB"/>
    <w:multiLevelType w:val="hybridMultilevel"/>
    <w:tmpl w:val="90DE3842"/>
    <w:lvl w:ilvl="0" w:tplc="BD002DD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10556">
    <w:abstractNumId w:val="35"/>
  </w:num>
  <w:num w:numId="2" w16cid:durableId="45494041">
    <w:abstractNumId w:val="26"/>
  </w:num>
  <w:num w:numId="3" w16cid:durableId="753360328">
    <w:abstractNumId w:val="15"/>
  </w:num>
  <w:num w:numId="4" w16cid:durableId="35669848">
    <w:abstractNumId w:val="38"/>
  </w:num>
  <w:num w:numId="5" w16cid:durableId="2115634197">
    <w:abstractNumId w:val="16"/>
  </w:num>
  <w:num w:numId="6" w16cid:durableId="309402022">
    <w:abstractNumId w:val="34"/>
  </w:num>
  <w:num w:numId="7" w16cid:durableId="1194804031">
    <w:abstractNumId w:val="8"/>
  </w:num>
  <w:num w:numId="8" w16cid:durableId="228543160">
    <w:abstractNumId w:val="18"/>
  </w:num>
  <w:num w:numId="9" w16cid:durableId="105589331">
    <w:abstractNumId w:val="2"/>
  </w:num>
  <w:num w:numId="10" w16cid:durableId="1417047711">
    <w:abstractNumId w:val="9"/>
  </w:num>
  <w:num w:numId="11" w16cid:durableId="585650285">
    <w:abstractNumId w:val="12"/>
  </w:num>
  <w:num w:numId="12" w16cid:durableId="1941524426">
    <w:abstractNumId w:val="7"/>
  </w:num>
  <w:num w:numId="13" w16cid:durableId="1621183292">
    <w:abstractNumId w:val="22"/>
  </w:num>
  <w:num w:numId="14" w16cid:durableId="1420248016">
    <w:abstractNumId w:val="31"/>
  </w:num>
  <w:num w:numId="15" w16cid:durableId="1287615324">
    <w:abstractNumId w:val="40"/>
  </w:num>
  <w:num w:numId="16" w16cid:durableId="14128543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46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7928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3214350">
    <w:abstractNumId w:val="1"/>
  </w:num>
  <w:num w:numId="20" w16cid:durableId="681247406">
    <w:abstractNumId w:val="0"/>
  </w:num>
  <w:num w:numId="21" w16cid:durableId="122508826">
    <w:abstractNumId w:val="28"/>
  </w:num>
  <w:num w:numId="22" w16cid:durableId="1195191528">
    <w:abstractNumId w:val="13"/>
  </w:num>
  <w:num w:numId="23" w16cid:durableId="366151391">
    <w:abstractNumId w:val="4"/>
  </w:num>
  <w:num w:numId="24" w16cid:durableId="2005811720">
    <w:abstractNumId w:val="3"/>
  </w:num>
  <w:num w:numId="25" w16cid:durableId="807625773">
    <w:abstractNumId w:val="14"/>
  </w:num>
  <w:num w:numId="26" w16cid:durableId="192263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599">
    <w:abstractNumId w:val="10"/>
  </w:num>
  <w:num w:numId="28" w16cid:durableId="454982032">
    <w:abstractNumId w:val="17"/>
  </w:num>
  <w:num w:numId="29" w16cid:durableId="676270549">
    <w:abstractNumId w:val="20"/>
  </w:num>
  <w:num w:numId="30" w16cid:durableId="341590176">
    <w:abstractNumId w:val="23"/>
  </w:num>
  <w:num w:numId="31" w16cid:durableId="463935305">
    <w:abstractNumId w:val="11"/>
  </w:num>
  <w:num w:numId="32" w16cid:durableId="71397607">
    <w:abstractNumId w:val="39"/>
  </w:num>
  <w:num w:numId="33" w16cid:durableId="247078773">
    <w:abstractNumId w:val="33"/>
  </w:num>
  <w:num w:numId="34" w16cid:durableId="17652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25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361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03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502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802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5164255">
    <w:abstractNumId w:val="32"/>
  </w:num>
  <w:num w:numId="41" w16cid:durableId="1324578189">
    <w:abstractNumId w:val="29"/>
  </w:num>
  <w:num w:numId="42" w16cid:durableId="1732924344">
    <w:abstractNumId w:val="27"/>
  </w:num>
  <w:num w:numId="43" w16cid:durableId="1617445554">
    <w:abstractNumId w:val="24"/>
  </w:num>
  <w:num w:numId="44" w16cid:durableId="1681927048">
    <w:abstractNumId w:val="25"/>
  </w:num>
  <w:num w:numId="45" w16cid:durableId="2087216378">
    <w:abstractNumId w:val="5"/>
  </w:num>
  <w:num w:numId="46" w16cid:durableId="1499804079">
    <w:abstractNumId w:val="21"/>
  </w:num>
  <w:num w:numId="47" w16cid:durableId="2012640156">
    <w:abstractNumId w:val="37"/>
  </w:num>
  <w:num w:numId="48" w16cid:durableId="61764247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E4A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5FF2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1F2D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3D2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5CA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560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1B9B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02E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1AD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2D3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7869"/>
    <w:rsid w:val="005433FC"/>
    <w:rsid w:val="00543768"/>
    <w:rsid w:val="005459E0"/>
    <w:rsid w:val="00545A5B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0DC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1F20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0051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45B4E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377F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27A"/>
    <w:rsid w:val="0095725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E09"/>
    <w:rsid w:val="00984E87"/>
    <w:rsid w:val="00986793"/>
    <w:rsid w:val="009870DB"/>
    <w:rsid w:val="009872FF"/>
    <w:rsid w:val="00987C2A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0B94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336F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277C7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13E5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5779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2DB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46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0753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5BA5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56A"/>
    <w:rsid w:val="00FA26A5"/>
    <w:rsid w:val="00FA2B44"/>
    <w:rsid w:val="00FA4037"/>
    <w:rsid w:val="00FA4156"/>
    <w:rsid w:val="00FA720C"/>
    <w:rsid w:val="00FA7AB8"/>
    <w:rsid w:val="00FB071E"/>
    <w:rsid w:val="00FB0C98"/>
    <w:rsid w:val="00FB3236"/>
    <w:rsid w:val="00FB351C"/>
    <w:rsid w:val="00FB438D"/>
    <w:rsid w:val="00FB508C"/>
    <w:rsid w:val="00FB5649"/>
    <w:rsid w:val="00FB5FAD"/>
    <w:rsid w:val="00FB6560"/>
    <w:rsid w:val="00FB6AEF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FA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3691</Words>
  <Characters>21780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2024-11-26T12:43:00Z</dcterms:created>
  <dcterms:modified xsi:type="dcterms:W3CDTF">2024-11-26T12:43:00Z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