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A58B" w14:textId="69E93A95" w:rsidR="00C74E17" w:rsidRDefault="00670E13" w:rsidP="00C74E17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C74E1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C7EFB" w:rsidRPr="000446DE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4/</w:t>
      </w:r>
    </w:p>
    <w:p w14:paraId="111EB2BC" w14:textId="2BAE9A65" w:rsidR="000446DE" w:rsidRPr="000446DE" w:rsidRDefault="00C74E17" w:rsidP="000446DE">
      <w:pPr>
        <w:spacing w:before="12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20C2C220" w14:textId="65D2633C" w:rsidR="000446DE" w:rsidRDefault="000446DE" w:rsidP="000446DE">
      <w:pPr>
        <w:spacing w:before="60" w:after="240"/>
        <w:ind w:left="0" w:firstLine="0"/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</w:pPr>
    </w:p>
    <w:p w14:paraId="12B6C7A4" w14:textId="5C12328A" w:rsidR="000446DE" w:rsidRPr="000D4384" w:rsidRDefault="000446DE" w:rsidP="000446DE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092F311" w14:textId="1A8D6075" w:rsidR="00C74E17" w:rsidRPr="00C74E17" w:rsidRDefault="00C74E17" w:rsidP="00C74E17">
      <w:pPr>
        <w:spacing w:before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8691D" w:rsidR="009A3DA5" w:rsidRPr="000B448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0B448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37B6FE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CA0E3A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77777777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3AE5CAE" w14:textId="134B4BB4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3263C6D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1CE90ACD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33500ED9" w14:textId="3F00BA31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BC16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F241D6" w:rsidRPr="00BC16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Pr="00BC16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D03223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proofErr w:type="gramStart"/>
      <w:r w:rsidR="00174CB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174CB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E86F8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4B66A5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5931CE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</w:t>
      </w:r>
      <w:r w:rsidR="00E02EE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 žádná změna názvu činnosti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02EE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schválené žádosti – tzn. v tabulce žadatelů v materiálu, schváleném řídícím orgánem. Zde uvedený text odpovídá o</w:t>
      </w:r>
      <w:r w:rsidR="00E02EE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161377D8" w14:textId="06979104" w:rsidR="00E10AC5" w:rsidRPr="00E02EE8" w:rsidRDefault="00E10AC5" w:rsidP="005931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5F385F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5F385F" w:rsidRPr="000446D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068A6F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86F8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dotace </w:t>
      </w:r>
      <w:r w:rsidR="002850C6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2850C6" w:rsidRPr="00F241D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DFAE54" w:rsidR="009A3DA5" w:rsidRPr="00A2232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B261E87" w14:textId="43D4F9D1" w:rsidR="00E02EE8" w:rsidRPr="00A22326" w:rsidRDefault="00E02EE8" w:rsidP="005931CE">
      <w:pPr>
        <w:spacing w:after="120"/>
        <w:ind w:left="567" w:firstLine="0"/>
      </w:pPr>
      <w:r w:rsidRPr="00A2232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</w:t>
      </w:r>
      <w:r w:rsidRPr="00A22326">
        <w:rPr>
          <w:rFonts w:ascii="Arial" w:hAnsi="Arial" w:cs="Arial"/>
          <w:sz w:val="24"/>
          <w:szCs w:val="24"/>
        </w:rPr>
        <w:lastRenderedPageBreak/>
        <w:t>příjemce nastavenou hranici pro dlouhodobý hmotný majetek vnitřním předpisem jinak (hranice není totožná s hranicí v zákoně o dani z </w:t>
      </w:r>
      <w:proofErr w:type="gramStart"/>
      <w:r w:rsidRPr="00A22326">
        <w:rPr>
          <w:rFonts w:ascii="Arial" w:hAnsi="Arial" w:cs="Arial"/>
          <w:sz w:val="24"/>
          <w:szCs w:val="24"/>
        </w:rPr>
        <w:t>příjmů)a</w:t>
      </w:r>
      <w:proofErr w:type="gramEnd"/>
      <w:r w:rsidRPr="00A22326">
        <w:rPr>
          <w:rFonts w:ascii="Arial" w:hAnsi="Arial" w:cs="Arial"/>
          <w:sz w:val="24"/>
          <w:szCs w:val="24"/>
        </w:rPr>
        <w:t xml:space="preserve"> prokázal tuto skutečnost v rámci podání žádosti o dotaci, bude dotace taktéž považována za </w:t>
      </w:r>
      <w:r w:rsidR="002850C6" w:rsidRPr="00A22326">
        <w:rPr>
          <w:rFonts w:ascii="Arial" w:hAnsi="Arial" w:cs="Arial"/>
          <w:sz w:val="24"/>
          <w:szCs w:val="24"/>
        </w:rPr>
        <w:t xml:space="preserve">dotaci </w:t>
      </w:r>
      <w:r w:rsidRPr="00A22326">
        <w:rPr>
          <w:rFonts w:ascii="Arial" w:hAnsi="Arial" w:cs="Arial"/>
          <w:sz w:val="24"/>
          <w:szCs w:val="24"/>
        </w:rPr>
        <w:t>investiční.</w:t>
      </w:r>
    </w:p>
    <w:p w14:paraId="3C9258D3" w14:textId="23C77193" w:rsidR="009A3DA5" w:rsidRPr="00A2232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A2232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0158B171" w:rsidR="009A3DA5" w:rsidRPr="00A2232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44A14" w:rsidRPr="00A22326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7777777" w:rsidR="009A3DA5" w:rsidRPr="00A2232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6B112C67" w:rsidR="009A3DA5" w:rsidRPr="000446DE" w:rsidRDefault="009A3DA5" w:rsidP="002850C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0446DE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420B813E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1B7832" w:rsidRPr="000D43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</w:t>
      </w: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B53203F" w14:textId="65FF3056" w:rsidR="00144A14" w:rsidRDefault="00407D53" w:rsidP="00144A1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DB6052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44A1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44A1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44A1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01984A77" w14:textId="77777777" w:rsidR="00144A14" w:rsidRPr="00F241D6" w:rsidRDefault="00144A14" w:rsidP="00144A1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ustanovení této </w:t>
      </w: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smlouvy.</w:t>
      </w:r>
    </w:p>
    <w:p w14:paraId="6056EB99" w14:textId="1A02A6BA" w:rsidR="00407D53" w:rsidRPr="00144A14" w:rsidRDefault="00407D53" w:rsidP="00144A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F241D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2850C6" w:rsidRPr="000446DE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B8EEE4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opravou odpočtu podle </w:t>
      </w: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BD263F"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75 ZDPH</w:t>
      </w:r>
      <w:r w:rsidR="00375D6A"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, vypořádáním odpo</w:t>
      </w:r>
      <w:r w:rsidR="005E267D"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č</w:t>
      </w:r>
      <w:r w:rsidR="00375D6A"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tu podle § 76 ZDPH</w:t>
      </w: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 xml:space="preserve"> a</w:t>
      </w: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 xml:space="preserve"> </w:t>
      </w:r>
      <w:r w:rsidR="007F2BA7" w:rsidRPr="000D4384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 w:rsidR="007F2BA7" w:rsidRPr="000D438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>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bude dle </w:t>
      </w:r>
      <w:proofErr w:type="spellStart"/>
      <w:r w:rsidR="009F6A33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čl</w:t>
      </w:r>
      <w:proofErr w:type="spellEnd"/>
      <w:r w:rsidR="009F6A33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9F83031" w14:textId="5127A82E" w:rsidR="001E181B" w:rsidRPr="002234B7" w:rsidRDefault="001E181B" w:rsidP="001E181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95D18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E02EE8"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E10AC5"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D07FF3"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26EF1ED" w14:textId="77777777" w:rsidR="008C54C2" w:rsidRDefault="008C54C2" w:rsidP="008C54C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0446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 dále zejména </w:t>
      </w:r>
      <w:proofErr w:type="gramStart"/>
      <w:r w:rsidRPr="000446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na  …</w:t>
      </w:r>
      <w:proofErr w:type="gramEnd"/>
      <w:r w:rsidRPr="000446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</w:t>
      </w:r>
      <w:r w:rsidRPr="000446D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1543E8C4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69456E9C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27B1347C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4373C68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661546EF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594F20E7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BC163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BC163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BC163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4BAE3534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307C9114" w:rsidR="006E2141" w:rsidRPr="000446DE" w:rsidRDefault="006E2141" w:rsidP="001A61F8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EC57E3" w14:textId="2E802DDB" w:rsidR="00E02EE8" w:rsidRPr="000D4384" w:rsidRDefault="00E02EE8" w:rsidP="00E02EE8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8E367E"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činnost </w:t>
      </w: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příjemcem</w:t>
      </w:r>
      <w:r w:rsidR="003D240E"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. Změna příjemce je možná pouze</w:t>
      </w: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 v př</w:t>
      </w:r>
      <w:r w:rsidR="00F241D6"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17976104" w14:textId="6A09BC8E" w:rsidR="00144A14" w:rsidRDefault="005A477A" w:rsidP="00144A1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44A1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44A14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5A33FDAB" w:rsidR="005A477A" w:rsidRPr="000446DE" w:rsidRDefault="005A477A" w:rsidP="00144A14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49E9BB38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446DE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0446DE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</w:t>
      </w:r>
      <w:r w:rsidR="000446DE" w:rsidRPr="000D4384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0D438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0446DE" w:rsidRPr="000D438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C150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0446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0446DE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15FF3BD" w14:textId="521241DD" w:rsidR="00A83DB2" w:rsidRPr="006B454A" w:rsidRDefault="00A83DB2" w:rsidP="00A83DB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proofErr w:type="gramStart"/>
      <w:r w:rsidRPr="000E2DDA">
        <w:rPr>
          <w:rFonts w:ascii="Arial" w:hAnsi="Arial" w:cs="Arial"/>
          <w:sz w:val="24"/>
          <w:szCs w:val="24"/>
        </w:rPr>
        <w:t>nejvýše….</w:t>
      </w:r>
      <w:proofErr w:type="gramEnd"/>
      <w:r w:rsidRPr="000E2DDA">
        <w:rPr>
          <w:rFonts w:ascii="Arial" w:hAnsi="Arial" w:cs="Arial"/>
          <w:sz w:val="24"/>
          <w:szCs w:val="24"/>
        </w:rPr>
        <w:t>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F241D6"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4E60C2"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0446DE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2367742" w14:textId="2FC7FEAB" w:rsidR="004E60C2" w:rsidRPr="006B454A" w:rsidRDefault="004E60C2" w:rsidP="004E60C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it nejpozději ve stejné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0A23A2" w:rsidRPr="000D438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hůtě, než je stanovena pro použití dotace, je nutné, aby lhůta pro 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vyn</w:t>
      </w:r>
      <w:r w:rsidR="00F241D6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6C5FEF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 předložení vyúčtování uvedenému/é v čl. II odst. 4 této smlouvy.</w:t>
      </w:r>
    </w:p>
    <w:p w14:paraId="1E89D9F3" w14:textId="1AFF8307" w:rsidR="004E60C2" w:rsidRPr="0012330F" w:rsidRDefault="004E60C2" w:rsidP="004E60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E95B32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463776C4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8D40C2D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E4056B" w14:textId="58DE355D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1BB0C95E" w14:textId="29E58B3A" w:rsidR="00A83DB2" w:rsidRPr="000446DE" w:rsidRDefault="00A83DB2" w:rsidP="00A83DB2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jinou fyzickou nebo právnickou osobou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6829D969" w14:textId="77777777" w:rsidR="00A83DB2" w:rsidRPr="000446DE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8868F2D" w14:textId="77777777" w:rsidR="00A83DB2" w:rsidRPr="000446DE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5E60EFD" w14:textId="6F8BF19B" w:rsidR="00E02EE8" w:rsidRPr="00E02EE8" w:rsidRDefault="006A1189" w:rsidP="00E02EE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......... </w:t>
      </w:r>
      <w:r w:rsidR="009036B4" w:rsidRPr="00F241D6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dotace,</w:t>
      </w:r>
      <w:r w:rsidR="009036B4" w:rsidRPr="00F24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dotace, a </w:t>
      </w:r>
      <w:r w:rsidR="00F241D6" w:rsidRPr="00F241D6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754DA278" w14:textId="3DCEC2D4" w:rsidR="00C15081" w:rsidRDefault="00C15081" w:rsidP="00E02EE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E5EBAD3" w14:textId="765B3527" w:rsidR="00C15081" w:rsidRPr="00BC325E" w:rsidRDefault="00C15081" w:rsidP="000D4384">
      <w:pPr>
        <w:spacing w:after="120"/>
        <w:ind w:left="1134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9036B4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9036B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dotace, k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terý je zveřejněn v systému RAP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331F36A" w14:textId="77777777" w:rsidR="00C15081" w:rsidRPr="00BC325E" w:rsidRDefault="00C15081" w:rsidP="00C1508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jednotlivých dokladů a faktur, s vyznačením dotčených plateb,</w:t>
      </w:r>
    </w:p>
    <w:p w14:paraId="0D8B6DB6" w14:textId="4E4E528E" w:rsidR="009036B4" w:rsidRPr="000446DE" w:rsidRDefault="00C15081" w:rsidP="009036B4">
      <w:pPr>
        <w:spacing w:after="120"/>
        <w:ind w:left="1287" w:hanging="7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9036B4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dotace.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38FC9B5C" w14:textId="77777777" w:rsidR="009036B4" w:rsidRPr="000446DE" w:rsidRDefault="009036B4" w:rsidP="009036B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vyúčtování, např. výdajové doklady dle konkrétních potřeb a požadavků poskytovatele.</w:t>
      </w:r>
    </w:p>
    <w:p w14:paraId="02CB3B93" w14:textId="77777777" w:rsidR="002850C6" w:rsidRPr="000446DE" w:rsidRDefault="002850C6" w:rsidP="002850C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1D6F265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</w:t>
      </w:r>
      <w:r w:rsidR="00F56C90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 závěrečné zprávy,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</w:t>
      </w:r>
      <w:r w:rsidR="00C15081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25202DD5" w:rsidR="009A3DA5" w:rsidRPr="0058756D" w:rsidRDefault="00BE371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0446DE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81150C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5BE32974" w14:textId="441DDE51" w:rsidR="009036B4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02EE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02EE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02E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90BB" w14:textId="77777777" w:rsidR="00BE37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0040E0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:rsidRPr="003E0167" w14:paraId="0EBEEAD9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9DA0" w14:textId="0377A568" w:rsidR="00F916DF" w:rsidRPr="003E0167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3D240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D77F" w14:textId="77777777" w:rsidR="00F916DF" w:rsidRPr="003E0167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79D802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5F5662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916D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41AED6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B6EC78" w:rsidR="009A3DA5" w:rsidRDefault="009A3DA5" w:rsidP="003E18B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045E" w:rsidRPr="003E0167" w14:paraId="37D82647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BC78" w14:textId="77777777" w:rsidR="00FB045E" w:rsidRPr="003E0167" w:rsidRDefault="00FB045E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0290" w14:textId="77777777" w:rsidR="00FB045E" w:rsidRPr="003E0167" w:rsidRDefault="00FB045E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47FCF45" w14:textId="6D65EF88" w:rsidR="009036B4" w:rsidRPr="008B0B51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A607E4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2122745F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6B022B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je-li</w:t>
      </w:r>
      <w:r w:rsidR="006B022B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</w:t>
      </w:r>
      <w:r w:rsidR="000245E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nutné</w:t>
      </w:r>
      <w:r w:rsidR="008E367E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55BDF311" w14:textId="6EFF0BAE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C15081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036B4"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bdob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</w:t>
      </w:r>
      <w:proofErr w:type="gramStart"/>
      <w:r w:rsidR="00F16BAA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…….</w:t>
      </w:r>
      <w:proofErr w:type="gramEnd"/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(specifikuje se dle </w:t>
      </w:r>
      <w:r w:rsidR="00664936"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druhu</w:t>
      </w:r>
      <w:r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</w:t>
      </w:r>
      <w:r w:rsidR="00664936"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činnosti</w:t>
      </w:r>
      <w:r w:rsidR="00F241D6"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, výše</w:t>
      </w:r>
      <w:r w:rsidR="002850C6"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poskytované </w:t>
      </w:r>
      <w:r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dotace a údajů uvedených v žádosti)</w:t>
      </w:r>
      <w:r w:rsidR="0031285D" w:rsidRPr="000D4384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0D4384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0A79168E" w14:textId="41D7272B" w:rsidR="009036B4" w:rsidRPr="000446DE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</w:t>
      </w:r>
      <w:r w:rsidR="008E367E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poskytnuté dotace, údaje uvedené v žádosti a podle potřeb poskytovatele.</w:t>
      </w:r>
    </w:p>
    <w:p w14:paraId="4711E03D" w14:textId="4462E85F" w:rsidR="00836AA2" w:rsidRPr="000446D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52E61BA2" w14:textId="280BD95E" w:rsidR="009036B4" w:rsidRPr="005F0780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8F598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nebo čl. 1 odst. 13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E02EE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0446D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Odkaz na odst. 13 se uvede v případě, že dotace bude poskytována v režimu de minimis, tj. pokud v čl. III budou uvedeny odstavce 2-5.</w:t>
      </w:r>
    </w:p>
    <w:p w14:paraId="60BEFB01" w14:textId="5ED0486D" w:rsidR="009036B4" w:rsidRPr="00C30B8D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6090A9DB" w14:textId="77777777" w:rsidR="0081150C" w:rsidRPr="00717C46" w:rsidRDefault="0081150C" w:rsidP="0081150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75276CA" w14:textId="55427E3D" w:rsidR="00781512" w:rsidRPr="000446DE" w:rsidRDefault="00781512" w:rsidP="00291570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malého rozsahu (de minimis) poskytovatelem poskytována v režimu de minimis. V takovém případě se ve smlouvě uvedou následující odstavce 2-5:</w:t>
      </w:r>
    </w:p>
    <w:p w14:paraId="6026220D" w14:textId="77777777" w:rsidR="008D0C84" w:rsidRPr="000D4384" w:rsidRDefault="008D0C84" w:rsidP="008D0C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2" w:name="_Hlk171499483"/>
      <w:r w:rsidRPr="000D43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0D4384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0D4384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31F52F68" w14:textId="77777777" w:rsidR="008D0C84" w:rsidRPr="000D4384" w:rsidRDefault="008D0C84" w:rsidP="008D0C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0D4384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0D43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262864BA" w14:textId="1957688F" w:rsidR="008D0C84" w:rsidRPr="000D4384" w:rsidRDefault="008D0C84" w:rsidP="008D0C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0D4384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3106BD" w:rsidRPr="000D4384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0D43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5C30BCE2" w14:textId="77777777" w:rsidR="00F21CAD" w:rsidRPr="000D4384" w:rsidRDefault="008D0C84" w:rsidP="008D0C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0D4384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0D438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2"/>
    </w:p>
    <w:p w14:paraId="41A402EB" w14:textId="780E6B21" w:rsidR="00781512" w:rsidRPr="000D4384" w:rsidRDefault="00781512" w:rsidP="008D0C84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4C10BB8D" w14:textId="1677C307" w:rsidR="00781512" w:rsidRPr="000D4384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38F7E352" w14:textId="30CA47C7" w:rsidR="00781512" w:rsidRPr="000D4384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D438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0F64544" w14:textId="1C2F5D97" w:rsidR="002850C6" w:rsidRPr="000D4384" w:rsidRDefault="002850C6" w:rsidP="000D4384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</w:t>
      </w:r>
      <w:r w:rsidRPr="000D4384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lastRenderedPageBreak/>
        <w:t>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0446DE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28881E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781512"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763DB1F6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599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D599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2D5994">
        <w:rPr>
          <w:rFonts w:ascii="Arial" w:hAnsi="Arial" w:cs="Arial"/>
          <w:sz w:val="24"/>
          <w:szCs w:val="24"/>
          <w:lang w:eastAsia="cs-CZ"/>
        </w:rPr>
        <w:t>T</w:t>
      </w:r>
      <w:r w:rsidRPr="002D5994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5A4F9B" w:rsidRPr="000D4384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0D4384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 w:rsidRPr="002D5994"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 w:rsidRPr="002D599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16264E4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9C3B0E5" w:rsidR="004F7CD6" w:rsidRDefault="004F7CD6" w:rsidP="005D231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7229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AD0B99" w:rsidRPr="0020074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55518A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8E61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241D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963A2F1" w14:textId="1A5B9926" w:rsidR="009036B4" w:rsidRDefault="009036B4" w:rsidP="00903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0D2A61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Zásad). V tomto případě bude ze smlouvy vypuštěna i následující podpisová část, místo které bude uveden text</w:t>
      </w: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proofErr w:type="gramStart"/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2850C6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</w:t>
      </w:r>
      <w:proofErr w:type="gramEnd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</w:t>
      </w:r>
      <w:r w:rsidR="000446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D2A61" w:rsidRPr="000D2A6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016FB88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2425A671" w:rsidR="009A3DA5" w:rsidRDefault="00051AD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1482B05B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576441" w:rsidRPr="000D4384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8172C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8172C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8172C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8172C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8172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4B60F935" w14:textId="6A4DA324" w:rsidR="009036B4" w:rsidRPr="000446DE" w:rsidRDefault="009036B4" w:rsidP="009036B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0446DE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………….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použití dotace se obvykle stanoví nejpozději do konce měsíce následujícího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5CF0728E" w:rsidR="00DD06DA" w:rsidRPr="000446DE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2C0B3C89" w:rsidR="00DD06DA" w:rsidRPr="00E02EE8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C15081"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E02EE8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A3FF2F" w14:textId="442E35DE" w:rsidR="009036B4" w:rsidRPr="00E02EE8" w:rsidRDefault="009036B4" w:rsidP="00E02EE8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2CBA1925" w14:textId="37B7F0F7" w:rsidR="00C15081" w:rsidRDefault="00C15081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31472D" w14:textId="52BEF5CB" w:rsidR="009036B4" w:rsidRPr="007B688A" w:rsidRDefault="00C15081" w:rsidP="009036B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D845FAA" w14:textId="77777777" w:rsidR="009036B4" w:rsidRDefault="009036B4" w:rsidP="009036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56E031" w14:textId="08251DF4" w:rsidR="009036B4" w:rsidRPr="000446DE" w:rsidRDefault="009036B4" w:rsidP="009036B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Ve lhůtě pro předl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ožení vyúčtování předloží příjemce poskytovateli také závěrečnou zprávu, a to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83B8938" w14:textId="6C37CCBC" w:rsidR="009036B4" w:rsidRPr="000446DE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předložit poskytovateli 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5C74E11E" w14:textId="0101F047" w:rsidR="00C15081" w:rsidRDefault="00C15081" w:rsidP="00C1508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 použita v celé výši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6018D819" w:rsidR="00DD06DA" w:rsidRDefault="00DD06DA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5E01C0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13BA" w14:textId="77777777" w:rsidR="00750AE0" w:rsidRDefault="00750AE0" w:rsidP="00D40C40">
      <w:r>
        <w:separator/>
      </w:r>
    </w:p>
  </w:endnote>
  <w:endnote w:type="continuationSeparator" w:id="0">
    <w:p w14:paraId="2039F43A" w14:textId="77777777" w:rsidR="00750AE0" w:rsidRDefault="00750AE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9557" w14:textId="0DBD6CAF" w:rsidR="00AB38EE" w:rsidRDefault="00A07568" w:rsidP="00AB38E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ab/>
      <w:t xml:space="preserve">Strana </w:t>
    </w:r>
    <w:r w:rsidR="00AB38EE" w:rsidRPr="005F35C5">
      <w:rPr>
        <w:rFonts w:ascii="Arial" w:hAnsi="Arial" w:cs="Arial"/>
        <w:i/>
        <w:sz w:val="20"/>
        <w:szCs w:val="20"/>
      </w:rPr>
      <w:fldChar w:fldCharType="begin"/>
    </w:r>
    <w:r w:rsidR="00AB38EE" w:rsidRPr="005F35C5">
      <w:rPr>
        <w:rFonts w:ascii="Arial" w:hAnsi="Arial" w:cs="Arial"/>
        <w:i/>
        <w:sz w:val="20"/>
        <w:szCs w:val="20"/>
      </w:rPr>
      <w:instrText>PAGE   \* MERGEFORMAT</w:instrText>
    </w:r>
    <w:r w:rsidR="00AB38EE" w:rsidRPr="005F35C5">
      <w:rPr>
        <w:rFonts w:ascii="Arial" w:hAnsi="Arial" w:cs="Arial"/>
        <w:i/>
        <w:sz w:val="20"/>
        <w:szCs w:val="20"/>
      </w:rPr>
      <w:fldChar w:fldCharType="separate"/>
    </w:r>
    <w:r w:rsidR="00196DCA">
      <w:rPr>
        <w:rFonts w:ascii="Arial" w:hAnsi="Arial" w:cs="Arial"/>
        <w:i/>
        <w:noProof/>
        <w:sz w:val="20"/>
        <w:szCs w:val="20"/>
      </w:rPr>
      <w:t>65</w:t>
    </w:r>
    <w:r w:rsidR="00AB38EE" w:rsidRPr="005F35C5">
      <w:rPr>
        <w:rFonts w:ascii="Arial" w:hAnsi="Arial" w:cs="Arial"/>
        <w:i/>
        <w:sz w:val="20"/>
        <w:szCs w:val="20"/>
      </w:rPr>
      <w:fldChar w:fldCharType="end"/>
    </w:r>
    <w:r w:rsidR="002D5994">
      <w:rPr>
        <w:rFonts w:ascii="Arial" w:hAnsi="Arial" w:cs="Arial"/>
        <w:i/>
        <w:sz w:val="20"/>
        <w:szCs w:val="20"/>
      </w:rPr>
      <w:t xml:space="preserve"> (celkem 17</w:t>
    </w:r>
    <w:r w:rsidR="00B72286">
      <w:rPr>
        <w:rFonts w:ascii="Arial" w:hAnsi="Arial" w:cs="Arial"/>
        <w:i/>
        <w:sz w:val="20"/>
        <w:szCs w:val="20"/>
      </w:rPr>
      <w:t>7</w:t>
    </w:r>
    <w:r w:rsidR="00636B1C">
      <w:rPr>
        <w:rFonts w:ascii="Arial" w:hAnsi="Arial" w:cs="Arial"/>
        <w:i/>
        <w:sz w:val="20"/>
        <w:szCs w:val="20"/>
      </w:rPr>
      <w:t>)</w:t>
    </w:r>
  </w:p>
  <w:p w14:paraId="2EE9160E" w14:textId="09D61405" w:rsidR="00AB38EE" w:rsidRPr="00B378BC" w:rsidRDefault="00386F86" w:rsidP="00AB38E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8E6188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</w:t>
    </w:r>
    <w:r w:rsidR="000D4384">
      <w:rPr>
        <w:rFonts w:ascii="Arial" w:hAnsi="Arial" w:cs="Arial"/>
        <w:i/>
        <w:sz w:val="20"/>
        <w:szCs w:val="20"/>
      </w:rPr>
      <w:t>5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 xml:space="preserve"> </w:t>
    </w:r>
  </w:p>
  <w:p w14:paraId="3EFFDCB2" w14:textId="21680783" w:rsidR="00AB38EE" w:rsidRPr="0074631A" w:rsidRDefault="00B771FF" w:rsidP="00AB38EE">
    <w:pPr>
      <w:pStyle w:val="Zpat"/>
    </w:pPr>
    <w:r>
      <w:rPr>
        <w:rFonts w:ascii="Arial" w:hAnsi="Arial" w:cs="Arial"/>
        <w:i/>
        <w:sz w:val="20"/>
        <w:szCs w:val="20"/>
      </w:rPr>
      <w:t>Příloha č. 05</w:t>
    </w:r>
    <w:r w:rsidR="00AB38EE">
      <w:rPr>
        <w:rFonts w:ascii="Arial" w:hAnsi="Arial" w:cs="Arial"/>
        <w:i/>
        <w:sz w:val="20"/>
        <w:szCs w:val="20"/>
      </w:rPr>
      <w:t xml:space="preserve">: </w:t>
    </w:r>
    <w:r w:rsidR="00AB38EE" w:rsidRPr="00AB38EE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fyzické osobě podnikateli</w:t>
    </w:r>
    <w:r w:rsidR="00AB38EE" w:rsidRPr="00B16985">
      <w:rPr>
        <w:rFonts w:ascii="Arial" w:hAnsi="Arial" w:cs="Arial"/>
        <w:bCs/>
        <w:sz w:val="24"/>
        <w:szCs w:val="24"/>
      </w:rPr>
      <w:t xml:space="preserve"> </w:t>
    </w:r>
    <w:r w:rsidR="00AB38EE">
      <w:rPr>
        <w:rFonts w:ascii="Arial" w:hAnsi="Arial" w:cs="Arial"/>
        <w:bCs/>
        <w:sz w:val="24"/>
        <w:szCs w:val="24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F1CF" w14:textId="77777777" w:rsidR="00750AE0" w:rsidRDefault="00750AE0" w:rsidP="00D40C40">
      <w:r>
        <w:separator/>
      </w:r>
    </w:p>
  </w:footnote>
  <w:footnote w:type="continuationSeparator" w:id="0">
    <w:p w14:paraId="6ED75B96" w14:textId="77777777" w:rsidR="00750AE0" w:rsidRDefault="00750AE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F154AB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45282">
    <w:abstractNumId w:val="32"/>
  </w:num>
  <w:num w:numId="2" w16cid:durableId="884608464">
    <w:abstractNumId w:val="23"/>
  </w:num>
  <w:num w:numId="3" w16cid:durableId="1189107032">
    <w:abstractNumId w:val="16"/>
  </w:num>
  <w:num w:numId="4" w16cid:durableId="1249080673">
    <w:abstractNumId w:val="34"/>
  </w:num>
  <w:num w:numId="5" w16cid:durableId="1258640061">
    <w:abstractNumId w:val="17"/>
  </w:num>
  <w:num w:numId="6" w16cid:durableId="603074576">
    <w:abstractNumId w:val="31"/>
  </w:num>
  <w:num w:numId="7" w16cid:durableId="952248349">
    <w:abstractNumId w:val="7"/>
  </w:num>
  <w:num w:numId="8" w16cid:durableId="1091389918">
    <w:abstractNumId w:val="19"/>
  </w:num>
  <w:num w:numId="9" w16cid:durableId="2087534597">
    <w:abstractNumId w:val="2"/>
  </w:num>
  <w:num w:numId="10" w16cid:durableId="2115830044">
    <w:abstractNumId w:val="8"/>
  </w:num>
  <w:num w:numId="11" w16cid:durableId="1797259351">
    <w:abstractNumId w:val="12"/>
  </w:num>
  <w:num w:numId="12" w16cid:durableId="2141193342">
    <w:abstractNumId w:val="6"/>
  </w:num>
  <w:num w:numId="13" w16cid:durableId="665406175">
    <w:abstractNumId w:val="21"/>
  </w:num>
  <w:num w:numId="14" w16cid:durableId="133765295">
    <w:abstractNumId w:val="27"/>
  </w:num>
  <w:num w:numId="15" w16cid:durableId="406415089">
    <w:abstractNumId w:val="36"/>
  </w:num>
  <w:num w:numId="16" w16cid:durableId="14942216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8889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23358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771925">
    <w:abstractNumId w:val="1"/>
  </w:num>
  <w:num w:numId="20" w16cid:durableId="480317885">
    <w:abstractNumId w:val="0"/>
  </w:num>
  <w:num w:numId="21" w16cid:durableId="1267345582">
    <w:abstractNumId w:val="24"/>
  </w:num>
  <w:num w:numId="22" w16cid:durableId="618679991">
    <w:abstractNumId w:val="14"/>
  </w:num>
  <w:num w:numId="23" w16cid:durableId="1067457431">
    <w:abstractNumId w:val="4"/>
  </w:num>
  <w:num w:numId="24" w16cid:durableId="769353063">
    <w:abstractNumId w:val="3"/>
  </w:num>
  <w:num w:numId="25" w16cid:durableId="1347321303">
    <w:abstractNumId w:val="15"/>
  </w:num>
  <w:num w:numId="26" w16cid:durableId="461702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1855649">
    <w:abstractNumId w:val="9"/>
  </w:num>
  <w:num w:numId="28" w16cid:durableId="1793287304">
    <w:abstractNumId w:val="18"/>
  </w:num>
  <w:num w:numId="29" w16cid:durableId="1650088613">
    <w:abstractNumId w:val="20"/>
  </w:num>
  <w:num w:numId="30" w16cid:durableId="125900959">
    <w:abstractNumId w:val="22"/>
  </w:num>
  <w:num w:numId="31" w16cid:durableId="127823136">
    <w:abstractNumId w:val="11"/>
  </w:num>
  <w:num w:numId="32" w16cid:durableId="1513841273">
    <w:abstractNumId w:val="35"/>
  </w:num>
  <w:num w:numId="33" w16cid:durableId="1619408163">
    <w:abstractNumId w:val="30"/>
  </w:num>
  <w:num w:numId="34" w16cid:durableId="2052606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624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47213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0261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4306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03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8559283">
    <w:abstractNumId w:val="28"/>
  </w:num>
  <w:num w:numId="41" w16cid:durableId="1739784663">
    <w:abstractNumId w:val="25"/>
  </w:num>
  <w:num w:numId="42" w16cid:durableId="1560703523">
    <w:abstractNumId w:val="29"/>
  </w:num>
  <w:num w:numId="43" w16cid:durableId="62261358">
    <w:abstractNumId w:val="13"/>
  </w:num>
  <w:num w:numId="44" w16cid:durableId="1253902657">
    <w:abstractNumId w:val="10"/>
  </w:num>
  <w:num w:numId="45" w16cid:durableId="347341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11E3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6DE"/>
    <w:rsid w:val="000463D9"/>
    <w:rsid w:val="0004640A"/>
    <w:rsid w:val="00051AD3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0D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3A2"/>
    <w:rsid w:val="000A6591"/>
    <w:rsid w:val="000B0318"/>
    <w:rsid w:val="000B06AF"/>
    <w:rsid w:val="000B1B0F"/>
    <w:rsid w:val="000B2B07"/>
    <w:rsid w:val="000B4480"/>
    <w:rsid w:val="000B5701"/>
    <w:rsid w:val="000B7389"/>
    <w:rsid w:val="000C09F5"/>
    <w:rsid w:val="000C1B93"/>
    <w:rsid w:val="000C237E"/>
    <w:rsid w:val="000C3757"/>
    <w:rsid w:val="000C5293"/>
    <w:rsid w:val="000C610D"/>
    <w:rsid w:val="000C619A"/>
    <w:rsid w:val="000C7650"/>
    <w:rsid w:val="000D0819"/>
    <w:rsid w:val="000D1974"/>
    <w:rsid w:val="000D2A61"/>
    <w:rsid w:val="000D319D"/>
    <w:rsid w:val="000D4384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134B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2C3"/>
    <w:rsid w:val="00137D65"/>
    <w:rsid w:val="001429D2"/>
    <w:rsid w:val="001436D1"/>
    <w:rsid w:val="00144A14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CBA"/>
    <w:rsid w:val="00175D80"/>
    <w:rsid w:val="001777F6"/>
    <w:rsid w:val="00177CB4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6DCA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1F8"/>
    <w:rsid w:val="001B1CF5"/>
    <w:rsid w:val="001B21D0"/>
    <w:rsid w:val="001B2273"/>
    <w:rsid w:val="001B3185"/>
    <w:rsid w:val="001B326B"/>
    <w:rsid w:val="001B7624"/>
    <w:rsid w:val="001B7832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81B"/>
    <w:rsid w:val="001E21D4"/>
    <w:rsid w:val="001E478A"/>
    <w:rsid w:val="001E5401"/>
    <w:rsid w:val="001E5DE6"/>
    <w:rsid w:val="001E6042"/>
    <w:rsid w:val="001E61B2"/>
    <w:rsid w:val="001E6893"/>
    <w:rsid w:val="001E75DD"/>
    <w:rsid w:val="001F4D19"/>
    <w:rsid w:val="001F65EE"/>
    <w:rsid w:val="001F6AB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5CA"/>
    <w:rsid w:val="00235694"/>
    <w:rsid w:val="00235B1F"/>
    <w:rsid w:val="002360BE"/>
    <w:rsid w:val="0023769C"/>
    <w:rsid w:val="002376AD"/>
    <w:rsid w:val="00237F27"/>
    <w:rsid w:val="002409C2"/>
    <w:rsid w:val="00240D4A"/>
    <w:rsid w:val="002422E2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C6C"/>
    <w:rsid w:val="00265FDA"/>
    <w:rsid w:val="00266797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B29"/>
    <w:rsid w:val="002850C6"/>
    <w:rsid w:val="00285125"/>
    <w:rsid w:val="00286AF4"/>
    <w:rsid w:val="002872BE"/>
    <w:rsid w:val="00287756"/>
    <w:rsid w:val="00290054"/>
    <w:rsid w:val="002908BE"/>
    <w:rsid w:val="00291570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994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78D"/>
    <w:rsid w:val="00303B2A"/>
    <w:rsid w:val="00305328"/>
    <w:rsid w:val="003056B4"/>
    <w:rsid w:val="00305EB3"/>
    <w:rsid w:val="00307B8B"/>
    <w:rsid w:val="003106BD"/>
    <w:rsid w:val="0031151F"/>
    <w:rsid w:val="0031285D"/>
    <w:rsid w:val="00312AD0"/>
    <w:rsid w:val="00314014"/>
    <w:rsid w:val="003150D3"/>
    <w:rsid w:val="00321CA8"/>
    <w:rsid w:val="00321FF4"/>
    <w:rsid w:val="0032223E"/>
    <w:rsid w:val="0032277D"/>
    <w:rsid w:val="00326204"/>
    <w:rsid w:val="003269FE"/>
    <w:rsid w:val="0033568D"/>
    <w:rsid w:val="003362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86F86"/>
    <w:rsid w:val="003921EE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0CC"/>
    <w:rsid w:val="003B4F80"/>
    <w:rsid w:val="003B55DD"/>
    <w:rsid w:val="003B57E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240E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4F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567"/>
    <w:rsid w:val="00426D57"/>
    <w:rsid w:val="004309C0"/>
    <w:rsid w:val="00431784"/>
    <w:rsid w:val="00432DC1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6FEE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C7EF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0C2"/>
    <w:rsid w:val="004E7A87"/>
    <w:rsid w:val="004F33DB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6FBF"/>
    <w:rsid w:val="00542940"/>
    <w:rsid w:val="00543137"/>
    <w:rsid w:val="00543768"/>
    <w:rsid w:val="00544272"/>
    <w:rsid w:val="005459E0"/>
    <w:rsid w:val="00545A5B"/>
    <w:rsid w:val="00546491"/>
    <w:rsid w:val="0054676F"/>
    <w:rsid w:val="005469CD"/>
    <w:rsid w:val="0055217E"/>
    <w:rsid w:val="00557105"/>
    <w:rsid w:val="00560B00"/>
    <w:rsid w:val="0056218B"/>
    <w:rsid w:val="00565F6C"/>
    <w:rsid w:val="00566046"/>
    <w:rsid w:val="0056705E"/>
    <w:rsid w:val="00567BA7"/>
    <w:rsid w:val="00571EC8"/>
    <w:rsid w:val="00576441"/>
    <w:rsid w:val="0057703C"/>
    <w:rsid w:val="00580363"/>
    <w:rsid w:val="00580C7A"/>
    <w:rsid w:val="00581A95"/>
    <w:rsid w:val="00583525"/>
    <w:rsid w:val="005848C6"/>
    <w:rsid w:val="00585AA7"/>
    <w:rsid w:val="0058756D"/>
    <w:rsid w:val="005931CE"/>
    <w:rsid w:val="00594745"/>
    <w:rsid w:val="0059526D"/>
    <w:rsid w:val="00596E4A"/>
    <w:rsid w:val="00597D7B"/>
    <w:rsid w:val="005A24D2"/>
    <w:rsid w:val="005A2643"/>
    <w:rsid w:val="005A2AC3"/>
    <w:rsid w:val="005A477A"/>
    <w:rsid w:val="005A4F9B"/>
    <w:rsid w:val="005A75BE"/>
    <w:rsid w:val="005A7F3C"/>
    <w:rsid w:val="005B1414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C74D1"/>
    <w:rsid w:val="005C7C41"/>
    <w:rsid w:val="005D0194"/>
    <w:rsid w:val="005D0F92"/>
    <w:rsid w:val="005D1434"/>
    <w:rsid w:val="005D21ED"/>
    <w:rsid w:val="005D2312"/>
    <w:rsid w:val="005D4D86"/>
    <w:rsid w:val="005D604E"/>
    <w:rsid w:val="005E01C0"/>
    <w:rsid w:val="005E2631"/>
    <w:rsid w:val="005E267D"/>
    <w:rsid w:val="005E2BB4"/>
    <w:rsid w:val="005E5BBD"/>
    <w:rsid w:val="005F385F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B1C"/>
    <w:rsid w:val="00637E9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77A26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22B"/>
    <w:rsid w:val="006B1973"/>
    <w:rsid w:val="006B3586"/>
    <w:rsid w:val="006B3B2A"/>
    <w:rsid w:val="006B4F48"/>
    <w:rsid w:val="006C061A"/>
    <w:rsid w:val="006C0D2D"/>
    <w:rsid w:val="006C17DC"/>
    <w:rsid w:val="006C43C7"/>
    <w:rsid w:val="006C5FEF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E7213"/>
    <w:rsid w:val="006F04C2"/>
    <w:rsid w:val="006F07FC"/>
    <w:rsid w:val="006F1BEC"/>
    <w:rsid w:val="006F1C07"/>
    <w:rsid w:val="006F2F24"/>
    <w:rsid w:val="006F456B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2918"/>
    <w:rsid w:val="00727B58"/>
    <w:rsid w:val="00735623"/>
    <w:rsid w:val="00735E1F"/>
    <w:rsid w:val="007360D6"/>
    <w:rsid w:val="00746F3C"/>
    <w:rsid w:val="007500B1"/>
    <w:rsid w:val="00750AE0"/>
    <w:rsid w:val="00751BA1"/>
    <w:rsid w:val="00751FF1"/>
    <w:rsid w:val="0075231C"/>
    <w:rsid w:val="00753A89"/>
    <w:rsid w:val="00754573"/>
    <w:rsid w:val="007546F6"/>
    <w:rsid w:val="00755220"/>
    <w:rsid w:val="00756938"/>
    <w:rsid w:val="00756D5A"/>
    <w:rsid w:val="00760308"/>
    <w:rsid w:val="00760673"/>
    <w:rsid w:val="00762AA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12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3DA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BA7"/>
    <w:rsid w:val="007F2F79"/>
    <w:rsid w:val="007F71DE"/>
    <w:rsid w:val="008007F4"/>
    <w:rsid w:val="00800B7B"/>
    <w:rsid w:val="0080218F"/>
    <w:rsid w:val="00802C5A"/>
    <w:rsid w:val="00803034"/>
    <w:rsid w:val="00805DC3"/>
    <w:rsid w:val="00810C7B"/>
    <w:rsid w:val="0081150C"/>
    <w:rsid w:val="00811C9A"/>
    <w:rsid w:val="00812092"/>
    <w:rsid w:val="0081314C"/>
    <w:rsid w:val="008172C5"/>
    <w:rsid w:val="00820B4D"/>
    <w:rsid w:val="00821F04"/>
    <w:rsid w:val="00824CBB"/>
    <w:rsid w:val="00826334"/>
    <w:rsid w:val="00826C2B"/>
    <w:rsid w:val="00832011"/>
    <w:rsid w:val="00832ABD"/>
    <w:rsid w:val="00832B25"/>
    <w:rsid w:val="0083445A"/>
    <w:rsid w:val="008351C4"/>
    <w:rsid w:val="00835F06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1EC4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4C2"/>
    <w:rsid w:val="008C5549"/>
    <w:rsid w:val="008C57F6"/>
    <w:rsid w:val="008C6544"/>
    <w:rsid w:val="008C65B2"/>
    <w:rsid w:val="008C7242"/>
    <w:rsid w:val="008D0C84"/>
    <w:rsid w:val="008D18CC"/>
    <w:rsid w:val="008D21BF"/>
    <w:rsid w:val="008D35A5"/>
    <w:rsid w:val="008D3E1E"/>
    <w:rsid w:val="008D5340"/>
    <w:rsid w:val="008D747A"/>
    <w:rsid w:val="008E0178"/>
    <w:rsid w:val="008E237C"/>
    <w:rsid w:val="008E2EBD"/>
    <w:rsid w:val="008E367E"/>
    <w:rsid w:val="008E3C74"/>
    <w:rsid w:val="008E428A"/>
    <w:rsid w:val="008E6188"/>
    <w:rsid w:val="008F03FB"/>
    <w:rsid w:val="008F4077"/>
    <w:rsid w:val="008F5988"/>
    <w:rsid w:val="008F66A3"/>
    <w:rsid w:val="009025C1"/>
    <w:rsid w:val="009033DF"/>
    <w:rsid w:val="009036B4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675D"/>
    <w:rsid w:val="00976A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6DD"/>
    <w:rsid w:val="009B6BE7"/>
    <w:rsid w:val="009C03D8"/>
    <w:rsid w:val="009C221A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3917"/>
    <w:rsid w:val="009E61A3"/>
    <w:rsid w:val="009E757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840"/>
    <w:rsid w:val="00A01A43"/>
    <w:rsid w:val="00A03040"/>
    <w:rsid w:val="00A0381B"/>
    <w:rsid w:val="00A046EF"/>
    <w:rsid w:val="00A05B6A"/>
    <w:rsid w:val="00A063DD"/>
    <w:rsid w:val="00A07568"/>
    <w:rsid w:val="00A10E55"/>
    <w:rsid w:val="00A1282D"/>
    <w:rsid w:val="00A143CD"/>
    <w:rsid w:val="00A2079F"/>
    <w:rsid w:val="00A21946"/>
    <w:rsid w:val="00A2232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4E8"/>
    <w:rsid w:val="00A36E09"/>
    <w:rsid w:val="00A375C6"/>
    <w:rsid w:val="00A4229C"/>
    <w:rsid w:val="00A42C4D"/>
    <w:rsid w:val="00A443EF"/>
    <w:rsid w:val="00A501E9"/>
    <w:rsid w:val="00A52C0C"/>
    <w:rsid w:val="00A54D36"/>
    <w:rsid w:val="00A5538A"/>
    <w:rsid w:val="00A56E4A"/>
    <w:rsid w:val="00A61A61"/>
    <w:rsid w:val="00A64BA5"/>
    <w:rsid w:val="00A67461"/>
    <w:rsid w:val="00A712B3"/>
    <w:rsid w:val="00A77A0F"/>
    <w:rsid w:val="00A77F66"/>
    <w:rsid w:val="00A80BA4"/>
    <w:rsid w:val="00A821AE"/>
    <w:rsid w:val="00A82275"/>
    <w:rsid w:val="00A82E58"/>
    <w:rsid w:val="00A83DB2"/>
    <w:rsid w:val="00A85253"/>
    <w:rsid w:val="00A87597"/>
    <w:rsid w:val="00A875A5"/>
    <w:rsid w:val="00A91948"/>
    <w:rsid w:val="00A91B95"/>
    <w:rsid w:val="00A94C19"/>
    <w:rsid w:val="00A95D18"/>
    <w:rsid w:val="00A966EF"/>
    <w:rsid w:val="00A96E88"/>
    <w:rsid w:val="00A96F6E"/>
    <w:rsid w:val="00AA16C0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F4C"/>
    <w:rsid w:val="00AB20CF"/>
    <w:rsid w:val="00AB20DF"/>
    <w:rsid w:val="00AB38EE"/>
    <w:rsid w:val="00AB403F"/>
    <w:rsid w:val="00AB4ECA"/>
    <w:rsid w:val="00AB66CC"/>
    <w:rsid w:val="00AC020C"/>
    <w:rsid w:val="00AC13E7"/>
    <w:rsid w:val="00AC34BB"/>
    <w:rsid w:val="00AC5A47"/>
    <w:rsid w:val="00AC5EC5"/>
    <w:rsid w:val="00AC64EA"/>
    <w:rsid w:val="00AD0B99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1A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2286"/>
    <w:rsid w:val="00B72559"/>
    <w:rsid w:val="00B7354A"/>
    <w:rsid w:val="00B749C2"/>
    <w:rsid w:val="00B7656D"/>
    <w:rsid w:val="00B771FF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0FE0"/>
    <w:rsid w:val="00BA3415"/>
    <w:rsid w:val="00BB0976"/>
    <w:rsid w:val="00BB17B5"/>
    <w:rsid w:val="00BB195A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63E"/>
    <w:rsid w:val="00BC1C58"/>
    <w:rsid w:val="00BC2431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71F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081"/>
    <w:rsid w:val="00C15D33"/>
    <w:rsid w:val="00C20BA1"/>
    <w:rsid w:val="00C20FBF"/>
    <w:rsid w:val="00C21770"/>
    <w:rsid w:val="00C22B2C"/>
    <w:rsid w:val="00C231E2"/>
    <w:rsid w:val="00C30252"/>
    <w:rsid w:val="00C30594"/>
    <w:rsid w:val="00C30E8C"/>
    <w:rsid w:val="00C31237"/>
    <w:rsid w:val="00C32822"/>
    <w:rsid w:val="00C331A0"/>
    <w:rsid w:val="00C33655"/>
    <w:rsid w:val="00C34051"/>
    <w:rsid w:val="00C35596"/>
    <w:rsid w:val="00C35BA2"/>
    <w:rsid w:val="00C36723"/>
    <w:rsid w:val="00C36A1D"/>
    <w:rsid w:val="00C37042"/>
    <w:rsid w:val="00C37AF3"/>
    <w:rsid w:val="00C402BE"/>
    <w:rsid w:val="00C407B9"/>
    <w:rsid w:val="00C42BF1"/>
    <w:rsid w:val="00C43E35"/>
    <w:rsid w:val="00C462A0"/>
    <w:rsid w:val="00C46FFE"/>
    <w:rsid w:val="00C475DB"/>
    <w:rsid w:val="00C51C7B"/>
    <w:rsid w:val="00C522FA"/>
    <w:rsid w:val="00C524A4"/>
    <w:rsid w:val="00C53735"/>
    <w:rsid w:val="00C569FE"/>
    <w:rsid w:val="00C6112F"/>
    <w:rsid w:val="00C619F7"/>
    <w:rsid w:val="00C63CC5"/>
    <w:rsid w:val="00C642A8"/>
    <w:rsid w:val="00C7203F"/>
    <w:rsid w:val="00C73FE7"/>
    <w:rsid w:val="00C74BFA"/>
    <w:rsid w:val="00C74E17"/>
    <w:rsid w:val="00C7578C"/>
    <w:rsid w:val="00C77AAB"/>
    <w:rsid w:val="00C81BD7"/>
    <w:rsid w:val="00C828EA"/>
    <w:rsid w:val="00C83606"/>
    <w:rsid w:val="00C862B3"/>
    <w:rsid w:val="00C875AA"/>
    <w:rsid w:val="00C877AD"/>
    <w:rsid w:val="00C879EF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43E"/>
    <w:rsid w:val="00CB787C"/>
    <w:rsid w:val="00CB7992"/>
    <w:rsid w:val="00CC1347"/>
    <w:rsid w:val="00CC2FA0"/>
    <w:rsid w:val="00CC4F3E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FF3"/>
    <w:rsid w:val="00D105B7"/>
    <w:rsid w:val="00D11221"/>
    <w:rsid w:val="00D11606"/>
    <w:rsid w:val="00D11F05"/>
    <w:rsid w:val="00D134FE"/>
    <w:rsid w:val="00D13B52"/>
    <w:rsid w:val="00D15D0F"/>
    <w:rsid w:val="00D205D2"/>
    <w:rsid w:val="00D21A4D"/>
    <w:rsid w:val="00D22F0E"/>
    <w:rsid w:val="00D26F7A"/>
    <w:rsid w:val="00D30F0E"/>
    <w:rsid w:val="00D34C35"/>
    <w:rsid w:val="00D35C99"/>
    <w:rsid w:val="00D3745F"/>
    <w:rsid w:val="00D3770B"/>
    <w:rsid w:val="00D40813"/>
    <w:rsid w:val="00D40C40"/>
    <w:rsid w:val="00D41FD3"/>
    <w:rsid w:val="00D42D28"/>
    <w:rsid w:val="00D43C40"/>
    <w:rsid w:val="00D46165"/>
    <w:rsid w:val="00D53265"/>
    <w:rsid w:val="00D55333"/>
    <w:rsid w:val="00D556E1"/>
    <w:rsid w:val="00D558F4"/>
    <w:rsid w:val="00D56B51"/>
    <w:rsid w:val="00D5787C"/>
    <w:rsid w:val="00D60094"/>
    <w:rsid w:val="00D61EA4"/>
    <w:rsid w:val="00D63EB0"/>
    <w:rsid w:val="00D6556E"/>
    <w:rsid w:val="00D704F9"/>
    <w:rsid w:val="00D72898"/>
    <w:rsid w:val="00D72F90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2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0F24"/>
    <w:rsid w:val="00DB305E"/>
    <w:rsid w:val="00DB3240"/>
    <w:rsid w:val="00DB6052"/>
    <w:rsid w:val="00DB68A2"/>
    <w:rsid w:val="00DC1B3B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D42"/>
    <w:rsid w:val="00E00BC4"/>
    <w:rsid w:val="00E02D59"/>
    <w:rsid w:val="00E02EE8"/>
    <w:rsid w:val="00E039A3"/>
    <w:rsid w:val="00E0556B"/>
    <w:rsid w:val="00E05CB5"/>
    <w:rsid w:val="00E10AC5"/>
    <w:rsid w:val="00E11AB8"/>
    <w:rsid w:val="00E128AD"/>
    <w:rsid w:val="00E13318"/>
    <w:rsid w:val="00E21EF9"/>
    <w:rsid w:val="00E22986"/>
    <w:rsid w:val="00E242A4"/>
    <w:rsid w:val="00E26B33"/>
    <w:rsid w:val="00E276C5"/>
    <w:rsid w:val="00E31DAF"/>
    <w:rsid w:val="00E3383E"/>
    <w:rsid w:val="00E362B2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4796D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2953"/>
    <w:rsid w:val="00E833E2"/>
    <w:rsid w:val="00E84F2D"/>
    <w:rsid w:val="00E8526E"/>
    <w:rsid w:val="00E86F85"/>
    <w:rsid w:val="00E91B65"/>
    <w:rsid w:val="00E92900"/>
    <w:rsid w:val="00E935AA"/>
    <w:rsid w:val="00E93A2C"/>
    <w:rsid w:val="00E941C9"/>
    <w:rsid w:val="00E94EA7"/>
    <w:rsid w:val="00E95B32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3D8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D8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89"/>
    <w:rsid w:val="00F21160"/>
    <w:rsid w:val="00F21CAD"/>
    <w:rsid w:val="00F241D6"/>
    <w:rsid w:val="00F26645"/>
    <w:rsid w:val="00F2708F"/>
    <w:rsid w:val="00F32346"/>
    <w:rsid w:val="00F323FB"/>
    <w:rsid w:val="00F35DEC"/>
    <w:rsid w:val="00F36721"/>
    <w:rsid w:val="00F37102"/>
    <w:rsid w:val="00F41A52"/>
    <w:rsid w:val="00F42C49"/>
    <w:rsid w:val="00F46633"/>
    <w:rsid w:val="00F50DE0"/>
    <w:rsid w:val="00F56C9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026"/>
    <w:rsid w:val="00F70779"/>
    <w:rsid w:val="00F71D70"/>
    <w:rsid w:val="00F73535"/>
    <w:rsid w:val="00F74BCF"/>
    <w:rsid w:val="00F76698"/>
    <w:rsid w:val="00F80C0C"/>
    <w:rsid w:val="00F819A1"/>
    <w:rsid w:val="00F8667F"/>
    <w:rsid w:val="00F903CF"/>
    <w:rsid w:val="00F90512"/>
    <w:rsid w:val="00F90F4D"/>
    <w:rsid w:val="00F916DF"/>
    <w:rsid w:val="00F91B53"/>
    <w:rsid w:val="00F926B6"/>
    <w:rsid w:val="00F934D3"/>
    <w:rsid w:val="00F94249"/>
    <w:rsid w:val="00F94705"/>
    <w:rsid w:val="00F9509B"/>
    <w:rsid w:val="00F95CB4"/>
    <w:rsid w:val="00F96E10"/>
    <w:rsid w:val="00FA0A87"/>
    <w:rsid w:val="00FA168E"/>
    <w:rsid w:val="00FA26A5"/>
    <w:rsid w:val="00FA2B44"/>
    <w:rsid w:val="00FA4156"/>
    <w:rsid w:val="00FA54E5"/>
    <w:rsid w:val="00FA70D2"/>
    <w:rsid w:val="00FA7AB8"/>
    <w:rsid w:val="00FB045E"/>
    <w:rsid w:val="00FB0C98"/>
    <w:rsid w:val="00FB438D"/>
    <w:rsid w:val="00FB508C"/>
    <w:rsid w:val="00FB6560"/>
    <w:rsid w:val="00FB6863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7DAC"/>
    <w:rsid w:val="00FF00A6"/>
    <w:rsid w:val="00FF0879"/>
    <w:rsid w:val="00FF0957"/>
    <w:rsid w:val="00FF3129"/>
    <w:rsid w:val="00FF33D8"/>
    <w:rsid w:val="00FF4563"/>
    <w:rsid w:val="00FF4BCB"/>
    <w:rsid w:val="00FF744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E367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8997-DBAD-4AF6-B4D5-C0EB4FD3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4873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26</cp:revision>
  <cp:lastPrinted>2024-11-19T07:37:00Z</cp:lastPrinted>
  <dcterms:created xsi:type="dcterms:W3CDTF">2024-07-01T11:01:00Z</dcterms:created>
  <dcterms:modified xsi:type="dcterms:W3CDTF">2024-11-26T05:44:00Z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