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04B5" w14:textId="743610E3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NÁVRATNÉ FINANČNÍ VÝPOMOCI</w:t>
      </w:r>
      <w:r w:rsidR="004716F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D077A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</w:t>
      </w:r>
    </w:p>
    <w:p w14:paraId="28B85DDE" w14:textId="51EF06BB" w:rsidR="004857EF" w:rsidRPr="009F070C" w:rsidRDefault="004857EF" w:rsidP="004857EF">
      <w:pPr>
        <w:spacing w:before="60" w:after="480"/>
        <w:jc w:val="both"/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</w:pPr>
      <w:r w:rsidRPr="009F070C">
        <w:rPr>
          <w:rFonts w:ascii="Arial" w:eastAsia="Times New Roman" w:hAnsi="Arial" w:cs="Arial"/>
          <w:b/>
          <w:i/>
          <w:strike/>
          <w:color w:val="FF0000"/>
          <w:sz w:val="24"/>
          <w:szCs w:val="24"/>
          <w:u w:val="single"/>
          <w:lang w:eastAsia="cs-CZ"/>
        </w:rPr>
        <w:t>K šedým vysvětlivkám:</w:t>
      </w:r>
      <w:r w:rsidRPr="009F070C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při zpracování vzorové smlouvy k NFV (určené ke schválení orgány kraje) se vypustí vysvětlivky, které jsou určeny pouze ke zpracování předmětné vzorové smlouvy k NFV do orgánů kraje (např. „uvede se, je-li příjemce plátcem DPH“, apod.). Naopak vysvětlivky, které jsou určeny ke zpracování následných smluv s konkrétními příjemci (vysvětlivky k ustanovením, jejichž vyplnění nebo použití je závislé od subjektu příjemce nebo účelu poskytnutí dotace - např. vysvětlivky u označení smluvní strany příje</w:t>
      </w:r>
      <w:r w:rsidR="00D77402" w:rsidRPr="009F070C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mce, vysvětlivka v čl. I odst. 4</w:t>
      </w:r>
      <w:r w:rsidRPr="009F070C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, atd.), je potřeba v textu z</w:t>
      </w:r>
      <w:r w:rsidR="00231351" w:rsidRPr="009F070C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pracovávané vzorové smlouvy k NFV</w:t>
      </w:r>
      <w:r w:rsidRPr="009F070C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ponechat.</w:t>
      </w:r>
    </w:p>
    <w:p w14:paraId="67A83ACA" w14:textId="1887B1B0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747FBF43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="005D4411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="005D441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D0F1903" w14:textId="77777777" w:rsidR="00057D73" w:rsidRPr="00471537" w:rsidRDefault="00057D73" w:rsidP="00514EBB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73F5617" w14:textId="77777777" w:rsidR="00057D73" w:rsidRPr="00471537" w:rsidRDefault="00057D73" w:rsidP="00514EB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164D0A" w:rsidRDefault="00057D73" w:rsidP="001E4486">
      <w:pPr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CE585CF" w14:textId="77777777" w:rsidR="004716F1" w:rsidRPr="00164D0A" w:rsidRDefault="004716F1" w:rsidP="004716F1">
      <w:pPr>
        <w:spacing w:after="12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0C4B416D" w14:textId="77777777" w:rsidR="004716F1" w:rsidRPr="00164D0A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E19A360" w14:textId="54336DA0" w:rsidR="004716F1" w:rsidRPr="00164D0A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="00F22A4E"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/Trvalé bydliště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89D7D3A" w14:textId="77777777" w:rsidR="004716F1" w:rsidRPr="00164D0A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CDA14BA" w14:textId="77777777" w:rsidR="004716F1" w:rsidRPr="00D77402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55A0ABF" w14:textId="77777777" w:rsidR="004716F1" w:rsidRPr="00D77402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F070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Údaj o zápisu v živnostenském rejstříku, resp. ve veřejném rejstříku</w:t>
      </w:r>
      <w:r w:rsidRPr="00D7740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(je-li příjemce zapsán ve veřejném rejstříku)</w:t>
      </w:r>
    </w:p>
    <w:p w14:paraId="4A5B1FCC" w14:textId="3C30B0ED" w:rsidR="004716F1" w:rsidRPr="00164D0A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61543B"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24DFA9DB" w14:textId="77777777" w:rsidR="004716F1" w:rsidRPr="00164D0A" w:rsidRDefault="004716F1" w:rsidP="004716F1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3383FABF" w14:textId="139E44E7" w:rsidR="004716F1" w:rsidRPr="00164D0A" w:rsidRDefault="004716F1" w:rsidP="004716F1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(dále jen „</w:t>
      </w: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9C618E0" w14:textId="73168C20" w:rsidR="00F22A4E" w:rsidRPr="00D77402" w:rsidRDefault="00F22A4E" w:rsidP="000A229B">
      <w:pPr>
        <w:jc w:val="both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Označení příjemce bude upraveno podle toho, zda NFV bude poskytována nepodnikající fyzické osobě, resp. podnikající fyzické osobě mimo rámec její podnikatelské činnosti, nebo </w:t>
      </w:r>
      <w:r w:rsidR="000A229B"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podnikající fyzické osobě.</w:t>
      </w:r>
    </w:p>
    <w:p w14:paraId="32F0FE0C" w14:textId="77777777" w:rsidR="00E92F8A" w:rsidRDefault="00E92F8A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486149F" w14:textId="46F7FEA6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1A2F4242" w14:textId="764D505F" w:rsidR="00057D73" w:rsidRDefault="00057D73" w:rsidP="00801965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BA63A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BA63A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Pr="009E3605">
        <w:rPr>
          <w:rFonts w:ascii="Arial" w:hAnsi="Arial" w:cs="Arial"/>
          <w:sz w:val="24"/>
          <w:szCs w:val="24"/>
        </w:rPr>
        <w:t xml:space="preserve">a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164D0A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164D0A">
        <w:rPr>
          <w:rFonts w:ascii="Arial" w:hAnsi="Arial" w:cs="Arial"/>
          <w:sz w:val="24"/>
          <w:szCs w:val="24"/>
        </w:rPr>
        <w:t>.</w:t>
      </w:r>
      <w:r w:rsidR="00FE56D3" w:rsidRPr="00164D0A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2F7139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2410ED" w:rsidRPr="002410ED">
        <w:rPr>
          <w:rFonts w:ascii="Arial" w:hAnsi="Arial" w:cs="Arial"/>
          <w:iCs/>
          <w:sz w:val="24"/>
          <w:szCs w:val="24"/>
        </w:rPr>
        <w:t>V případě odchylného znění Zásad a této smlouvy mají přednost ustanovení této smlouvy.</w:t>
      </w:r>
      <w:r w:rsidR="002410ED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EC572F9" w14:textId="42E1D1A7" w:rsidR="003A2C75" w:rsidRPr="00D77402" w:rsidRDefault="00D71520" w:rsidP="009D1131">
      <w:pPr>
        <w:pStyle w:val="Default"/>
        <w:spacing w:after="120"/>
        <w:ind w:left="426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U </w:t>
      </w:r>
      <w:r w:rsidR="00253533" w:rsidRPr="00D77402">
        <w:rPr>
          <w:rFonts w:eastAsia="Times New Roman"/>
          <w:i/>
          <w:color w:val="7F7F7F" w:themeColor="text1" w:themeTint="80"/>
          <w:lang w:eastAsia="cs-CZ"/>
        </w:rPr>
        <w:t>NFV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, jejíž součástí jsou peněžní prostředky </w:t>
      </w:r>
      <w:r w:rsidR="00DA4001" w:rsidRPr="00D77402">
        <w:rPr>
          <w:rFonts w:eastAsia="Times New Roman"/>
          <w:i/>
          <w:color w:val="7F7F7F" w:themeColor="text1" w:themeTint="80"/>
          <w:lang w:eastAsia="cs-CZ"/>
        </w:rPr>
        <w:t xml:space="preserve">poskytnuté </w:t>
      </w:r>
      <w:r w:rsidRPr="00D77402">
        <w:rPr>
          <w:rFonts w:eastAsia="Times New Roman"/>
          <w:i/>
          <w:color w:val="7F7F7F" w:themeColor="text1" w:themeTint="80"/>
          <w:lang w:eastAsia="cs-CZ"/>
        </w:rPr>
        <w:t>ze státního rozpočtu, z rozpočtu státního fondu nebo z Národního fondu, se dále uvede výše takových peněžních prostředků a </w:t>
      </w:r>
      <w:r w:rsidR="00DA4001" w:rsidRPr="00D77402">
        <w:rPr>
          <w:rFonts w:eastAsia="Times New Roman"/>
          <w:i/>
          <w:color w:val="7F7F7F" w:themeColor="text1" w:themeTint="80"/>
          <w:lang w:eastAsia="cs-CZ"/>
        </w:rPr>
        <w:t>jejich zdroj</w:t>
      </w:r>
      <w:r w:rsidRPr="00D77402">
        <w:rPr>
          <w:rFonts w:eastAsia="Times New Roman"/>
          <w:i/>
          <w:color w:val="7F7F7F" w:themeColor="text1" w:themeTint="80"/>
          <w:lang w:eastAsia="cs-CZ"/>
        </w:rPr>
        <w:t>.</w:t>
      </w:r>
    </w:p>
    <w:p w14:paraId="77D8A740" w14:textId="5DE15131" w:rsidR="008D1D11" w:rsidRPr="009E3605" w:rsidRDefault="008D1D11" w:rsidP="009D1131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Návratná finanční výpomoc se poskytuje na tento účel:</w:t>
      </w:r>
      <w:r w:rsidR="00F43772">
        <w:rPr>
          <w:rFonts w:ascii="Arial" w:hAnsi="Arial" w:cs="Arial"/>
          <w:sz w:val="24"/>
          <w:szCs w:val="24"/>
        </w:rPr>
        <w:t xml:space="preserve"> </w:t>
      </w:r>
      <w:r w:rsidRPr="009E3605">
        <w:rPr>
          <w:rFonts w:ascii="Arial" w:hAnsi="Arial" w:cs="Arial"/>
          <w:sz w:val="24"/>
          <w:szCs w:val="24"/>
        </w:rPr>
        <w:t xml:space="preserve">…………………………… </w:t>
      </w:r>
      <w:r w:rsidR="00D464F4" w:rsidRPr="009E3605">
        <w:rPr>
          <w:rFonts w:ascii="Arial" w:hAnsi="Arial" w:cs="Arial"/>
          <w:sz w:val="24"/>
          <w:szCs w:val="24"/>
        </w:rPr>
        <w:t>(dále jako „podporovaná aktivita“)</w:t>
      </w:r>
      <w:r w:rsidR="0034660E">
        <w:rPr>
          <w:rFonts w:ascii="Arial" w:hAnsi="Arial" w:cs="Arial"/>
          <w:sz w:val="24"/>
          <w:szCs w:val="24"/>
        </w:rPr>
        <w:t>.</w:t>
      </w:r>
    </w:p>
    <w:p w14:paraId="4D953890" w14:textId="12182235" w:rsidR="00664AAE" w:rsidRPr="00D77402" w:rsidRDefault="003A2BC4" w:rsidP="009D1131">
      <w:pPr>
        <w:pStyle w:val="Default"/>
        <w:spacing w:after="120"/>
        <w:ind w:left="426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>Účel se doplní dle znění žádosti příjemce</w:t>
      </w:r>
      <w:r w:rsidR="009F070C">
        <w:rPr>
          <w:rFonts w:eastAsia="Times New Roman"/>
          <w:i/>
          <w:color w:val="7F7F7F" w:themeColor="text1" w:themeTint="80"/>
          <w:lang w:eastAsia="cs-CZ"/>
        </w:rPr>
        <w:t>.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</w:t>
      </w:r>
      <w:r w:rsidRPr="009F070C">
        <w:rPr>
          <w:rFonts w:eastAsia="Times New Roman"/>
          <w:i/>
          <w:strike/>
          <w:color w:val="FF0000"/>
          <w:lang w:eastAsia="cs-CZ"/>
        </w:rPr>
        <w:t>případně dle znění příslušného Programu</w:t>
      </w:r>
      <w:r w:rsidR="007E4A1E" w:rsidRPr="009F070C">
        <w:rPr>
          <w:rFonts w:eastAsia="Times New Roman"/>
          <w:i/>
          <w:strike/>
          <w:color w:val="FF0000"/>
          <w:lang w:eastAsia="cs-CZ"/>
        </w:rPr>
        <w:t>.</w:t>
      </w:r>
      <w:r w:rsidRPr="009F070C">
        <w:rPr>
          <w:rFonts w:eastAsia="Times New Roman"/>
          <w:i/>
          <w:color w:val="FF0000"/>
          <w:lang w:eastAsia="cs-CZ"/>
        </w:rPr>
        <w:t xml:space="preserve"> </w:t>
      </w:r>
    </w:p>
    <w:p w14:paraId="70A7BEF5" w14:textId="51CC1590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</w:t>
      </w:r>
      <w:r w:rsidR="0061543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NFV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považuje den, kdy </w:t>
      </w:r>
      <w:r w:rsidR="0079255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79255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9255B"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D75D35"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(poslední věta tohoto odstavce se uvede pouze v případě, kdy NFV bude poskytována v režimu de minimis)</w:t>
      </w:r>
    </w:p>
    <w:p w14:paraId="6E55A441" w14:textId="1BA9C13E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</w:t>
      </w:r>
      <w:r w:rsidR="00235093" w:rsidRPr="003A4AA9">
        <w:rPr>
          <w:rFonts w:ascii="Arial" w:hAnsi="Arial" w:cs="Arial"/>
          <w:color w:val="0000FF"/>
          <w:sz w:val="24"/>
          <w:szCs w:val="24"/>
        </w:rPr>
        <w:t>investiční a/nebo neinvest</w:t>
      </w:r>
      <w:r w:rsidR="00235093" w:rsidRPr="00D077A1">
        <w:rPr>
          <w:rFonts w:ascii="Arial" w:hAnsi="Arial" w:cs="Arial"/>
          <w:color w:val="0000FF"/>
          <w:sz w:val="24"/>
          <w:szCs w:val="24"/>
        </w:rPr>
        <w:t xml:space="preserve">iční. </w:t>
      </w:r>
      <w:r w:rsidR="00235093"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(v případě, že je celková NFV dle čl. I odst. 1 poskytována na účel stanovený v čl. I odst. 2 této smlouvy jako investiční i neinvestiční, je potřeba uvést, jaká výše </w:t>
      </w:r>
      <w:r w:rsidR="00D077A1"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NFV</w:t>
      </w:r>
      <w:r w:rsidR="00235093"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Kč připadá na část investiční a jaká na část neinvestiční)</w:t>
      </w:r>
    </w:p>
    <w:p w14:paraId="668B3724" w14:textId="4D6A9157" w:rsidR="00F429D0" w:rsidRPr="009376B3" w:rsidRDefault="00F429D0" w:rsidP="009609C2">
      <w:pPr>
        <w:pStyle w:val="Default"/>
        <w:spacing w:after="120"/>
        <w:ind w:left="426"/>
        <w:jc w:val="both"/>
        <w:rPr>
          <w:color w:val="auto"/>
        </w:rPr>
      </w:pPr>
      <w:r w:rsidRPr="009376B3">
        <w:rPr>
          <w:color w:val="auto"/>
        </w:rPr>
        <w:lastRenderedPageBreak/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zákon“), výdajů spojených s pořízením nehmotného majetku nebo výdajů spojených s technickým zhodnocením, rekonstrukcí a modernizací ve smyslu § 33 cit. zákona. </w:t>
      </w:r>
    </w:p>
    <w:p w14:paraId="556F1413" w14:textId="64C40062" w:rsidR="00A53EC7" w:rsidRPr="009376B3" w:rsidRDefault="00A53EC7" w:rsidP="00A53EC7">
      <w:pPr>
        <w:ind w:left="426"/>
        <w:jc w:val="both"/>
      </w:pPr>
      <w:r w:rsidRPr="009376B3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F56355" w:rsidRPr="009376B3">
        <w:rPr>
          <w:rFonts w:ascii="Arial" w:hAnsi="Arial" w:cs="Arial"/>
          <w:sz w:val="24"/>
          <w:szCs w:val="24"/>
        </w:rPr>
        <w:t>NFV</w:t>
      </w:r>
      <w:r w:rsidRPr="009376B3">
        <w:rPr>
          <w:rFonts w:ascii="Arial" w:hAnsi="Arial" w:cs="Arial"/>
          <w:sz w:val="24"/>
          <w:szCs w:val="24"/>
        </w:rPr>
        <w:t xml:space="preserve"> rozumí </w:t>
      </w:r>
      <w:r w:rsidR="00F56355" w:rsidRPr="009376B3">
        <w:rPr>
          <w:rFonts w:ascii="Arial" w:hAnsi="Arial" w:cs="Arial"/>
          <w:sz w:val="24"/>
          <w:szCs w:val="24"/>
        </w:rPr>
        <w:t>NFV</w:t>
      </w:r>
      <w:r w:rsidRPr="009376B3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534C25" w:rsidRPr="009376B3">
        <w:rPr>
          <w:rFonts w:ascii="Arial" w:hAnsi="Arial" w:cs="Arial"/>
          <w:sz w:val="24"/>
          <w:szCs w:val="24"/>
        </w:rPr>
        <w:t xml:space="preserve">příjemcem v jeho </w:t>
      </w:r>
      <w:r w:rsidRPr="009376B3">
        <w:rPr>
          <w:rFonts w:ascii="Arial" w:hAnsi="Arial" w:cs="Arial"/>
          <w:sz w:val="24"/>
          <w:szCs w:val="24"/>
        </w:rPr>
        <w:t>vnitřním předpis</w:t>
      </w:r>
      <w:r w:rsidR="00534C25" w:rsidRPr="009376B3">
        <w:rPr>
          <w:rFonts w:ascii="Arial" w:hAnsi="Arial" w:cs="Arial"/>
          <w:sz w:val="24"/>
          <w:szCs w:val="24"/>
        </w:rPr>
        <w:t>u</w:t>
      </w:r>
      <w:r w:rsidRPr="009376B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534C25" w:rsidRPr="009376B3">
        <w:rPr>
          <w:rFonts w:ascii="Arial" w:hAnsi="Arial" w:cs="Arial"/>
          <w:sz w:val="24"/>
          <w:szCs w:val="24"/>
        </w:rPr>
        <w:t>příjemce</w:t>
      </w:r>
      <w:r w:rsidRPr="009376B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C93CCB" w:rsidRPr="009376B3">
        <w:rPr>
          <w:rFonts w:ascii="Arial" w:hAnsi="Arial" w:cs="Arial"/>
          <w:sz w:val="24"/>
          <w:szCs w:val="24"/>
        </w:rPr>
        <w:t xml:space="preserve">a prokázal tuto skutečnost </w:t>
      </w:r>
      <w:r w:rsidRPr="009376B3">
        <w:rPr>
          <w:rFonts w:ascii="Arial" w:hAnsi="Arial" w:cs="Arial"/>
          <w:sz w:val="24"/>
          <w:szCs w:val="24"/>
        </w:rPr>
        <w:t xml:space="preserve">v rámci </w:t>
      </w:r>
      <w:r w:rsidR="00C93CCB" w:rsidRPr="009376B3">
        <w:rPr>
          <w:rFonts w:ascii="Arial" w:hAnsi="Arial" w:cs="Arial"/>
          <w:sz w:val="24"/>
          <w:szCs w:val="24"/>
        </w:rPr>
        <w:t xml:space="preserve">podání </w:t>
      </w:r>
      <w:r w:rsidRPr="009376B3">
        <w:rPr>
          <w:rFonts w:ascii="Arial" w:hAnsi="Arial" w:cs="Arial"/>
          <w:sz w:val="24"/>
          <w:szCs w:val="24"/>
        </w:rPr>
        <w:t xml:space="preserve">žádosti </w:t>
      </w:r>
      <w:r w:rsidR="00C93CCB" w:rsidRPr="009376B3">
        <w:rPr>
          <w:rFonts w:ascii="Arial" w:hAnsi="Arial" w:cs="Arial"/>
          <w:sz w:val="24"/>
          <w:szCs w:val="24"/>
        </w:rPr>
        <w:t xml:space="preserve">o NFV, bude NFV taktéž považována </w:t>
      </w:r>
      <w:r w:rsidR="00E96BA9" w:rsidRPr="009376B3">
        <w:rPr>
          <w:rFonts w:ascii="Arial" w:hAnsi="Arial" w:cs="Arial"/>
          <w:sz w:val="24"/>
          <w:szCs w:val="24"/>
        </w:rPr>
        <w:t xml:space="preserve">za </w:t>
      </w:r>
      <w:r w:rsidR="00235093" w:rsidRPr="009376B3">
        <w:rPr>
          <w:rFonts w:ascii="Arial" w:hAnsi="Arial" w:cs="Arial"/>
          <w:sz w:val="24"/>
          <w:szCs w:val="24"/>
        </w:rPr>
        <w:t xml:space="preserve">NFV </w:t>
      </w:r>
      <w:r w:rsidR="00C93CCB" w:rsidRPr="009376B3">
        <w:rPr>
          <w:rFonts w:ascii="Arial" w:hAnsi="Arial" w:cs="Arial"/>
          <w:sz w:val="24"/>
          <w:szCs w:val="24"/>
        </w:rPr>
        <w:t xml:space="preserve">investiční. </w:t>
      </w:r>
      <w:r w:rsidRPr="009376B3">
        <w:rPr>
          <w:rFonts w:ascii="Arial" w:hAnsi="Arial" w:cs="Arial"/>
          <w:sz w:val="24"/>
          <w:szCs w:val="24"/>
        </w:rPr>
        <w:t xml:space="preserve"> </w:t>
      </w:r>
    </w:p>
    <w:p w14:paraId="05CF3EB7" w14:textId="38815A39" w:rsidR="00F429D0" w:rsidRPr="009376B3" w:rsidRDefault="00F429D0" w:rsidP="009609C2">
      <w:pPr>
        <w:pStyle w:val="Default"/>
        <w:spacing w:after="120"/>
        <w:ind w:left="426"/>
        <w:jc w:val="both"/>
        <w:rPr>
          <w:color w:val="auto"/>
        </w:rPr>
      </w:pPr>
      <w:r w:rsidRPr="009376B3">
        <w:rPr>
          <w:color w:val="auto"/>
        </w:rPr>
        <w:t xml:space="preserve">Pro účely této smlouvy se neinvestiční NFV rozumí výpomoc, která musí být použita na úhradu jiných výdajů než: </w:t>
      </w:r>
    </w:p>
    <w:p w14:paraId="7AA5B5C3" w14:textId="0DD917FA" w:rsidR="00F429D0" w:rsidRPr="009376B3" w:rsidRDefault="00F429D0" w:rsidP="009609C2">
      <w:pPr>
        <w:pStyle w:val="Default"/>
        <w:numPr>
          <w:ilvl w:val="0"/>
          <w:numId w:val="8"/>
        </w:numPr>
        <w:spacing w:after="120"/>
        <w:ind w:left="851" w:hanging="425"/>
        <w:jc w:val="both"/>
        <w:rPr>
          <w:color w:val="auto"/>
        </w:rPr>
      </w:pPr>
      <w:r w:rsidRPr="009376B3">
        <w:rPr>
          <w:color w:val="auto"/>
        </w:rPr>
        <w:t xml:space="preserve">výdajů spojených s pořízením hmotného majetku dle § 26 odst. 2 zákona č. 586/1992 Sb., o daních z příjmů, ve znění pozdějších předpisů (dále jen „cit. zákona“), </w:t>
      </w:r>
    </w:p>
    <w:p w14:paraId="423AFE63" w14:textId="763945C9" w:rsidR="00F429D0" w:rsidRPr="009376B3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  <w:rPr>
          <w:color w:val="auto"/>
        </w:rPr>
      </w:pPr>
      <w:r w:rsidRPr="009376B3">
        <w:rPr>
          <w:color w:val="auto"/>
        </w:rPr>
        <w:t xml:space="preserve">výdajů spojených s pořízením nehmotného majetku, </w:t>
      </w:r>
    </w:p>
    <w:p w14:paraId="6C3E023D" w14:textId="29CA1232" w:rsidR="00F429D0" w:rsidRPr="009376B3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  <w:rPr>
          <w:color w:val="auto"/>
        </w:rPr>
      </w:pPr>
      <w:r w:rsidRPr="009376B3">
        <w:rPr>
          <w:color w:val="auto"/>
        </w:rPr>
        <w:t xml:space="preserve">výdajů spojených s technickým zhodnocením, rekonstrukcí a modernizací ve smyslu § 33 cit. zákona. </w:t>
      </w:r>
    </w:p>
    <w:p w14:paraId="21E8DC0B" w14:textId="77777777" w:rsidR="00F429D0" w:rsidRPr="00D77402" w:rsidRDefault="00175257" w:rsidP="001318EF">
      <w:pPr>
        <w:pStyle w:val="Default"/>
        <w:spacing w:after="120"/>
        <w:ind w:left="426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>Ustanovení se upraví</w:t>
      </w:r>
      <w:r w:rsidR="00F429D0" w:rsidRPr="00D77402">
        <w:rPr>
          <w:rFonts w:eastAsia="Times New Roman"/>
          <w:i/>
          <w:color w:val="7F7F7F" w:themeColor="text1" w:themeTint="80"/>
          <w:lang w:eastAsia="cs-CZ"/>
        </w:rPr>
        <w:t xml:space="preserve"> dle podané žádosti o NFV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a schváleného účelu NFV.</w:t>
      </w:r>
    </w:p>
    <w:p w14:paraId="0DEC60C5" w14:textId="54C1E330" w:rsidR="0046288A" w:rsidRPr="00BC0FF8" w:rsidRDefault="0046288A" w:rsidP="0046288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Pr="007C3FA3">
        <w:rPr>
          <w:rFonts w:ascii="Arial" w:hAnsi="Arial" w:cs="Arial"/>
          <w:color w:val="0000FF"/>
          <w:sz w:val="24"/>
          <w:szCs w:val="24"/>
        </w:rPr>
        <w:t>zejména</w:t>
      </w:r>
      <w:r w:rsidR="00C404E6" w:rsidRPr="007C3FA3">
        <w:rPr>
          <w:rFonts w:ascii="Arial" w:hAnsi="Arial" w:cs="Arial"/>
          <w:color w:val="0000FF"/>
          <w:sz w:val="24"/>
          <w:szCs w:val="24"/>
        </w:rPr>
        <w:t>/pouze</w:t>
      </w:r>
      <w:r w:rsidRPr="007C3FA3">
        <w:rPr>
          <w:rFonts w:ascii="Arial" w:hAnsi="Arial" w:cs="Arial"/>
          <w:color w:val="0000FF"/>
          <w:sz w:val="24"/>
          <w:szCs w:val="24"/>
        </w:rPr>
        <w:t xml:space="preserve"> </w:t>
      </w:r>
      <w:r w:rsidRPr="00881B15">
        <w:rPr>
          <w:rFonts w:ascii="Arial" w:hAnsi="Arial" w:cs="Arial"/>
          <w:sz w:val="24"/>
          <w:szCs w:val="24"/>
        </w:rPr>
        <w:t>na</w:t>
      </w:r>
      <w:r w:rsidR="00A74BCC" w:rsidRPr="00D077A1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D077A1">
        <w:rPr>
          <w:rFonts w:ascii="Arial" w:hAnsi="Arial" w:cs="Arial"/>
          <w:sz w:val="24"/>
          <w:szCs w:val="24"/>
        </w:rPr>
        <w:t>:</w:t>
      </w:r>
    </w:p>
    <w:p w14:paraId="404928ED" w14:textId="77777777" w:rsidR="0046288A" w:rsidRPr="00471537" w:rsidRDefault="0046288A" w:rsidP="0046288A">
      <w:pPr>
        <w:pStyle w:val="Default"/>
        <w:tabs>
          <w:tab w:val="left" w:pos="851"/>
        </w:tabs>
        <w:spacing w:after="120"/>
        <w:ind w:left="851" w:hanging="284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-</w:t>
      </w:r>
      <w:r>
        <w:rPr>
          <w:rFonts w:eastAsia="Times New Roman"/>
          <w:lang w:eastAsia="cs-CZ"/>
        </w:rPr>
        <w:tab/>
      </w:r>
      <w:r w:rsidRPr="00471537">
        <w:rPr>
          <w:rFonts w:eastAsia="Times New Roman"/>
          <w:lang w:eastAsia="cs-CZ"/>
        </w:rPr>
        <w:t xml:space="preserve"> …………………………………………………………</w:t>
      </w:r>
    </w:p>
    <w:p w14:paraId="51B3F140" w14:textId="77777777" w:rsidR="0046288A" w:rsidRPr="00471537" w:rsidRDefault="0046288A" w:rsidP="0046288A">
      <w:pPr>
        <w:pStyle w:val="Default"/>
        <w:tabs>
          <w:tab w:val="left" w:pos="851"/>
        </w:tabs>
        <w:spacing w:after="120"/>
        <w:ind w:left="851" w:hanging="284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-</w:t>
      </w:r>
      <w:r>
        <w:rPr>
          <w:rFonts w:eastAsia="Times New Roman"/>
          <w:lang w:eastAsia="cs-CZ"/>
        </w:rPr>
        <w:tab/>
      </w:r>
      <w:r w:rsidRPr="00471537">
        <w:rPr>
          <w:rFonts w:eastAsia="Times New Roman"/>
          <w:lang w:eastAsia="cs-CZ"/>
        </w:rPr>
        <w:t>…………………………………………………………</w:t>
      </w:r>
    </w:p>
    <w:p w14:paraId="7F3B0654" w14:textId="6C246010" w:rsidR="0046288A" w:rsidRPr="00D77402" w:rsidRDefault="0046288A" w:rsidP="0046288A">
      <w:pPr>
        <w:pStyle w:val="Default"/>
        <w:spacing w:after="120"/>
        <w:ind w:left="426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V tomto ustanovení se uvedou </w:t>
      </w:r>
      <w:r w:rsidR="00C404E6" w:rsidRPr="00D77402">
        <w:rPr>
          <w:rFonts w:eastAsia="Times New Roman"/>
          <w:i/>
          <w:color w:val="7F7F7F" w:themeColor="text1" w:themeTint="80"/>
          <w:lang w:eastAsia="cs-CZ"/>
        </w:rPr>
        <w:t>výdaje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, na které můžou být prostředky NFV použity. </w:t>
      </w:r>
      <w:r w:rsidRPr="009F070C">
        <w:rPr>
          <w:rFonts w:eastAsia="Times New Roman"/>
          <w:i/>
          <w:strike/>
          <w:color w:val="FF0000"/>
          <w:lang w:eastAsia="cs-CZ"/>
        </w:rPr>
        <w:t xml:space="preserve">Je-li NFV poskytována v rámci Programu kraje a jsou-li v podmínkách Programu </w:t>
      </w:r>
      <w:r w:rsidR="00626096" w:rsidRPr="009F070C">
        <w:rPr>
          <w:rFonts w:eastAsia="Times New Roman"/>
          <w:i/>
          <w:strike/>
          <w:color w:val="FF0000"/>
          <w:lang w:eastAsia="cs-CZ"/>
        </w:rPr>
        <w:t xml:space="preserve">výdaje </w:t>
      </w:r>
      <w:r w:rsidRPr="009F070C">
        <w:rPr>
          <w:rFonts w:eastAsia="Times New Roman"/>
          <w:i/>
          <w:strike/>
          <w:color w:val="FF0000"/>
          <w:lang w:eastAsia="cs-CZ"/>
        </w:rPr>
        <w:t xml:space="preserve">taxativně vymezeny, musí být </w:t>
      </w:r>
      <w:r w:rsidR="00626096" w:rsidRPr="009F070C">
        <w:rPr>
          <w:rFonts w:eastAsia="Times New Roman"/>
          <w:i/>
          <w:strike/>
          <w:color w:val="FF0000"/>
          <w:lang w:eastAsia="cs-CZ"/>
        </w:rPr>
        <w:t xml:space="preserve">výdaje </w:t>
      </w:r>
      <w:r w:rsidRPr="009F070C">
        <w:rPr>
          <w:rFonts w:eastAsia="Times New Roman"/>
          <w:i/>
          <w:strike/>
          <w:color w:val="FF0000"/>
          <w:lang w:eastAsia="cs-CZ"/>
        </w:rPr>
        <w:t>zde uvedené v souladu s </w:t>
      </w:r>
      <w:r w:rsidR="00626096" w:rsidRPr="009F070C">
        <w:rPr>
          <w:rFonts w:eastAsia="Times New Roman"/>
          <w:i/>
          <w:strike/>
          <w:color w:val="FF0000"/>
          <w:lang w:eastAsia="cs-CZ"/>
        </w:rPr>
        <w:t xml:space="preserve">výdaji specifikovanými </w:t>
      </w:r>
      <w:r w:rsidRPr="009F070C">
        <w:rPr>
          <w:rFonts w:eastAsia="Times New Roman"/>
          <w:i/>
          <w:strike/>
          <w:color w:val="FF0000"/>
          <w:lang w:eastAsia="cs-CZ"/>
        </w:rPr>
        <w:t>v Programu.</w:t>
      </w:r>
    </w:p>
    <w:p w14:paraId="7D4E4B76" w14:textId="4A863EAC" w:rsidR="00253533" w:rsidRPr="00087456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>vzniklé od ……………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…………….</w:t>
      </w:r>
    </w:p>
    <w:p w14:paraId="3FB1FA48" w14:textId="1979EFA6" w:rsidR="00F429D0" w:rsidRPr="009F070C" w:rsidRDefault="00253533" w:rsidP="001318EF">
      <w:pPr>
        <w:pStyle w:val="Default"/>
        <w:spacing w:after="120"/>
        <w:ind w:left="426"/>
        <w:jc w:val="both"/>
        <w:rPr>
          <w:rFonts w:eastAsia="Times New Roman"/>
          <w:i/>
          <w:strike/>
          <w:color w:val="FF0000"/>
          <w:lang w:eastAsia="cs-CZ"/>
        </w:rPr>
      </w:pPr>
      <w:r w:rsidRPr="009F070C">
        <w:rPr>
          <w:rFonts w:eastAsia="Times New Roman"/>
          <w:i/>
          <w:strike/>
          <w:color w:val="FF0000"/>
          <w:lang w:eastAsia="cs-CZ"/>
        </w:rPr>
        <w:t>U NFV poskytované na základě Programu NFV (ve smyslu § 10</w:t>
      </w:r>
      <w:r w:rsidR="007E4A1E" w:rsidRPr="009F070C">
        <w:rPr>
          <w:rFonts w:eastAsia="Times New Roman"/>
          <w:i/>
          <w:strike/>
          <w:color w:val="FF0000"/>
          <w:lang w:eastAsia="cs-CZ"/>
        </w:rPr>
        <w:t>c zák. 250/2000 Sb.) se</w:t>
      </w:r>
      <w:r w:rsidR="009E26D0" w:rsidRPr="009F070C">
        <w:rPr>
          <w:rFonts w:eastAsia="Times New Roman"/>
          <w:i/>
          <w:strike/>
          <w:color w:val="FF0000"/>
          <w:lang w:eastAsia="cs-CZ"/>
        </w:rPr>
        <w:t xml:space="preserve"> doba vzniku </w:t>
      </w:r>
      <w:r w:rsidR="005A6FFE" w:rsidRPr="009F070C">
        <w:rPr>
          <w:rFonts w:eastAsia="Times New Roman"/>
          <w:i/>
          <w:strike/>
          <w:color w:val="FF0000"/>
          <w:lang w:eastAsia="cs-CZ"/>
        </w:rPr>
        <w:t>uznatelných výdajů</w:t>
      </w:r>
      <w:r w:rsidR="009E26D0" w:rsidRPr="009F070C">
        <w:rPr>
          <w:rFonts w:eastAsia="Times New Roman"/>
          <w:i/>
          <w:strike/>
          <w:color w:val="FF0000"/>
          <w:lang w:eastAsia="cs-CZ"/>
        </w:rPr>
        <w:t xml:space="preserve"> </w:t>
      </w:r>
      <w:r w:rsidRPr="009F070C">
        <w:rPr>
          <w:rFonts w:eastAsia="Times New Roman"/>
          <w:i/>
          <w:strike/>
          <w:color w:val="FF0000"/>
          <w:lang w:eastAsia="cs-CZ"/>
        </w:rPr>
        <w:t>musí shodova</w:t>
      </w:r>
      <w:r w:rsidR="00F429D0" w:rsidRPr="009F070C">
        <w:rPr>
          <w:rFonts w:eastAsia="Times New Roman"/>
          <w:i/>
          <w:strike/>
          <w:color w:val="FF0000"/>
          <w:lang w:eastAsia="cs-CZ"/>
        </w:rPr>
        <w:t>t s podmínkami tohoto programu.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43A44BC8" w:rsidR="00253533" w:rsidRPr="001B2B12" w:rsidRDefault="0025353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B12">
        <w:rPr>
          <w:rFonts w:ascii="Arial" w:hAnsi="Arial" w:cs="Arial"/>
          <w:sz w:val="24"/>
          <w:szCs w:val="24"/>
        </w:rPr>
        <w:t>Příjemce je povinen vrátit poskytovateli NFV nejpozději do ……</w:t>
      </w:r>
      <w:proofErr w:type="gramStart"/>
      <w:r w:rsidRPr="001B2B12">
        <w:rPr>
          <w:rFonts w:ascii="Arial" w:hAnsi="Arial" w:cs="Arial"/>
          <w:sz w:val="24"/>
          <w:szCs w:val="24"/>
        </w:rPr>
        <w:t>…….</w:t>
      </w:r>
      <w:proofErr w:type="gramEnd"/>
      <w:r w:rsidRPr="001B2B12">
        <w:rPr>
          <w:rFonts w:ascii="Arial" w:hAnsi="Arial" w:cs="Arial"/>
          <w:sz w:val="24"/>
          <w:szCs w:val="24"/>
        </w:rPr>
        <w:t>, a to na účet poskytovatele uvedený v záhlaví této smlouvy.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 xml:space="preserve">NFV se </w:t>
      </w:r>
      <w:r w:rsidR="00A773F3">
        <w:rPr>
          <w:rFonts w:ascii="Arial" w:hAnsi="Arial" w:cs="Arial"/>
          <w:sz w:val="24"/>
          <w:szCs w:val="24"/>
        </w:rPr>
        <w:t xml:space="preserve">pro účely této smlouvy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0E0C984F" w14:textId="1EFC2512" w:rsidR="00456905" w:rsidRPr="000457E6" w:rsidRDefault="008D5BD8" w:rsidP="00EB0B89">
      <w:pPr>
        <w:pStyle w:val="Default"/>
        <w:spacing w:after="120"/>
        <w:ind w:left="426"/>
        <w:jc w:val="both"/>
        <w:rPr>
          <w:color w:val="0000FF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Je možné dohodnout vrácení poskytnuté </w:t>
      </w:r>
      <w:r w:rsidR="00FF3B62" w:rsidRPr="00D77402">
        <w:rPr>
          <w:rFonts w:eastAsia="Times New Roman"/>
          <w:i/>
          <w:color w:val="7F7F7F" w:themeColor="text1" w:themeTint="80"/>
          <w:lang w:eastAsia="cs-CZ"/>
        </w:rPr>
        <w:t>NFV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ve splátkách. V takovém případě se určí výše jednotlivých splátek</w:t>
      </w:r>
      <w:r w:rsidR="000C38CE" w:rsidRPr="00D77402">
        <w:rPr>
          <w:rFonts w:eastAsia="Times New Roman"/>
          <w:i/>
          <w:color w:val="7F7F7F" w:themeColor="text1" w:themeTint="80"/>
          <w:lang w:eastAsia="cs-CZ"/>
        </w:rPr>
        <w:t xml:space="preserve"> a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termíny splátek:</w:t>
      </w:r>
      <w:r w:rsidR="00EB4E2B">
        <w:rPr>
          <w:rFonts w:eastAsia="Times New Roman"/>
          <w:i/>
          <w:color w:val="7F7F7F" w:themeColor="text1" w:themeTint="80"/>
          <w:lang w:eastAsia="cs-CZ"/>
        </w:rPr>
        <w:t xml:space="preserve"> </w:t>
      </w:r>
      <w:r w:rsidRPr="009F070C">
        <w:rPr>
          <w:rFonts w:eastAsia="Times New Roman"/>
          <w:iCs/>
          <w:color w:val="0000FF"/>
          <w:lang w:eastAsia="cs-CZ"/>
        </w:rPr>
        <w:t>Příjemce je povinen vrátit poskytovateli poskytnutou NFV do DD.MM.RRRR,</w:t>
      </w:r>
      <w:r w:rsidRPr="009F070C">
        <w:rPr>
          <w:iCs/>
          <w:color w:val="0000FF"/>
        </w:rPr>
        <w:t xml:space="preserve"> </w:t>
      </w:r>
      <w:r w:rsidRPr="009F070C">
        <w:rPr>
          <w:rFonts w:eastAsia="Times New Roman"/>
          <w:iCs/>
          <w:color w:val="0000FF"/>
          <w:lang w:eastAsia="cs-CZ"/>
        </w:rPr>
        <w:t>a to v pravidelných měsíčních/čtvrtletních splátkách ve výši</w:t>
      </w:r>
      <w:proofErr w:type="gramStart"/>
      <w:r w:rsidRPr="009F070C">
        <w:rPr>
          <w:rFonts w:eastAsia="Times New Roman"/>
          <w:iCs/>
          <w:color w:val="0000FF"/>
          <w:lang w:eastAsia="cs-CZ"/>
        </w:rPr>
        <w:t xml:space="preserve"> ….</w:t>
      </w:r>
      <w:proofErr w:type="gramEnd"/>
      <w:r w:rsidR="000C38CE" w:rsidRPr="009F070C">
        <w:rPr>
          <w:rFonts w:eastAsia="Times New Roman"/>
          <w:iCs/>
          <w:color w:val="0000FF"/>
          <w:lang w:eastAsia="cs-CZ"/>
        </w:rPr>
        <w:t>,</w:t>
      </w:r>
      <w:r w:rsidRPr="009F070C">
        <w:rPr>
          <w:rFonts w:eastAsia="Times New Roman"/>
          <w:iCs/>
          <w:color w:val="0000FF"/>
          <w:lang w:eastAsia="cs-CZ"/>
        </w:rPr>
        <w:t xml:space="preserve"> splatných vždy do </w:t>
      </w:r>
      <w:r w:rsidR="00244DC9" w:rsidRPr="009F070C">
        <w:rPr>
          <w:rFonts w:eastAsia="Times New Roman"/>
          <w:iCs/>
          <w:color w:val="0000FF"/>
          <w:lang w:eastAsia="cs-CZ"/>
        </w:rPr>
        <w:t>…………</w:t>
      </w:r>
      <w:r w:rsidRPr="009F070C">
        <w:rPr>
          <w:rFonts w:eastAsia="Times New Roman"/>
          <w:iCs/>
          <w:color w:val="0000FF"/>
          <w:lang w:eastAsia="cs-CZ"/>
        </w:rPr>
        <w:t xml:space="preserve">. dne </w:t>
      </w:r>
      <w:r w:rsidR="00244DC9" w:rsidRPr="009F070C">
        <w:rPr>
          <w:rFonts w:eastAsia="Times New Roman"/>
          <w:iCs/>
          <w:color w:val="0000FF"/>
          <w:lang w:eastAsia="cs-CZ"/>
        </w:rPr>
        <w:t>měsíce/</w:t>
      </w:r>
      <w:r w:rsidRPr="009F070C">
        <w:rPr>
          <w:rFonts w:eastAsia="Times New Roman"/>
          <w:iCs/>
          <w:color w:val="0000FF"/>
          <w:lang w:eastAsia="cs-CZ"/>
        </w:rPr>
        <w:t>posledního měsíce kalendářního čtvrtletí až do</w:t>
      </w:r>
      <w:r w:rsidR="007E4A1E" w:rsidRPr="009F070C">
        <w:rPr>
          <w:rFonts w:eastAsia="Times New Roman"/>
          <w:iCs/>
          <w:color w:val="0000FF"/>
          <w:lang w:eastAsia="cs-CZ"/>
        </w:rPr>
        <w:t xml:space="preserve"> </w:t>
      </w:r>
      <w:r w:rsidR="00D76EAB" w:rsidRPr="009F070C">
        <w:rPr>
          <w:rFonts w:eastAsia="Times New Roman"/>
          <w:iCs/>
          <w:color w:val="0000FF"/>
          <w:lang w:eastAsia="cs-CZ"/>
        </w:rPr>
        <w:t>úplného vrácení</w:t>
      </w:r>
      <w:r w:rsidR="005C78DF" w:rsidRPr="009F070C">
        <w:rPr>
          <w:rFonts w:eastAsia="Times New Roman"/>
          <w:iCs/>
          <w:color w:val="0000FF"/>
          <w:lang w:eastAsia="cs-CZ"/>
        </w:rPr>
        <w:t xml:space="preserve"> návratné finanční výpomoci</w:t>
      </w:r>
      <w:r w:rsidRPr="009F070C">
        <w:rPr>
          <w:rFonts w:eastAsia="Times New Roman"/>
          <w:iCs/>
          <w:color w:val="0000FF"/>
          <w:lang w:eastAsia="cs-CZ"/>
        </w:rPr>
        <w:t xml:space="preserve">, přičemž první splátka bude uhrazena ke dni </w:t>
      </w:r>
      <w:r w:rsidR="00244DC9" w:rsidRPr="009F070C">
        <w:rPr>
          <w:rFonts w:eastAsia="Times New Roman"/>
          <w:iCs/>
          <w:color w:val="0000FF"/>
          <w:lang w:eastAsia="cs-CZ"/>
        </w:rPr>
        <w:t>…</w:t>
      </w:r>
      <w:proofErr w:type="gramStart"/>
      <w:r w:rsidR="00244DC9" w:rsidRPr="009F070C">
        <w:rPr>
          <w:rFonts w:eastAsia="Times New Roman"/>
          <w:iCs/>
          <w:color w:val="0000FF"/>
          <w:lang w:eastAsia="cs-CZ"/>
        </w:rPr>
        <w:t>…….</w:t>
      </w:r>
      <w:proofErr w:type="gramEnd"/>
      <w:r w:rsidRPr="009F070C">
        <w:rPr>
          <w:rFonts w:eastAsia="Times New Roman"/>
          <w:iCs/>
          <w:color w:val="0000FF"/>
          <w:lang w:eastAsia="cs-CZ"/>
        </w:rPr>
        <w:t xml:space="preserve">. </w:t>
      </w:r>
      <w:r w:rsidR="00244DC9" w:rsidRPr="009F070C">
        <w:rPr>
          <w:rFonts w:eastAsia="Times New Roman"/>
          <w:iCs/>
          <w:color w:val="0000FF"/>
          <w:lang w:eastAsia="cs-CZ"/>
        </w:rPr>
        <w:t xml:space="preserve">Příjemce bude hradit jednotlivé splátky na účet poskytovatele uvedený v záhlaví této smlouvy. Splátka se </w:t>
      </w:r>
      <w:r w:rsidR="003D0872" w:rsidRPr="009F070C">
        <w:rPr>
          <w:rFonts w:eastAsia="Times New Roman"/>
          <w:iCs/>
          <w:color w:val="0000FF"/>
          <w:lang w:eastAsia="cs-CZ"/>
        </w:rPr>
        <w:t xml:space="preserve">pro účely této smlouvy </w:t>
      </w:r>
      <w:r w:rsidR="00244DC9" w:rsidRPr="009F070C">
        <w:rPr>
          <w:rFonts w:eastAsia="Times New Roman"/>
          <w:iCs/>
          <w:color w:val="0000FF"/>
          <w:lang w:eastAsia="cs-CZ"/>
        </w:rPr>
        <w:t xml:space="preserve">považuje za </w:t>
      </w:r>
      <w:r w:rsidR="003D0872" w:rsidRPr="009F070C">
        <w:rPr>
          <w:rFonts w:eastAsia="Times New Roman"/>
          <w:iCs/>
          <w:color w:val="0000FF"/>
          <w:lang w:eastAsia="cs-CZ"/>
        </w:rPr>
        <w:t xml:space="preserve">uhrazenou </w:t>
      </w:r>
      <w:r w:rsidRPr="009F070C">
        <w:rPr>
          <w:rFonts w:eastAsia="Times New Roman"/>
          <w:iCs/>
          <w:color w:val="0000FF"/>
          <w:lang w:eastAsia="cs-CZ"/>
        </w:rPr>
        <w:t>dn</w:t>
      </w:r>
      <w:r w:rsidR="00244DC9" w:rsidRPr="009F070C">
        <w:rPr>
          <w:rFonts w:eastAsia="Times New Roman"/>
          <w:iCs/>
          <w:color w:val="0000FF"/>
          <w:lang w:eastAsia="cs-CZ"/>
        </w:rPr>
        <w:t>em</w:t>
      </w:r>
      <w:r w:rsidRPr="009F070C">
        <w:rPr>
          <w:rFonts w:eastAsia="Times New Roman"/>
          <w:iCs/>
          <w:color w:val="0000FF"/>
          <w:lang w:eastAsia="cs-CZ"/>
        </w:rPr>
        <w:t xml:space="preserve"> jejího připsání na bankovní účet poskytovatele</w:t>
      </w:r>
      <w:r w:rsidR="00244DC9" w:rsidRPr="009F070C">
        <w:rPr>
          <w:rFonts w:eastAsia="Times New Roman"/>
          <w:iCs/>
          <w:color w:val="0000FF"/>
          <w:lang w:eastAsia="cs-CZ"/>
        </w:rPr>
        <w:t>.</w:t>
      </w:r>
    </w:p>
    <w:p w14:paraId="179EC2AE" w14:textId="1F4CB802" w:rsidR="00FE56D3" w:rsidRPr="00D77402" w:rsidRDefault="00456905" w:rsidP="00EB0B89">
      <w:pPr>
        <w:pStyle w:val="Default"/>
        <w:spacing w:after="120"/>
        <w:ind w:left="426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>Upozorňujeme, že pokud zde bude stanovena lhůta pro vrá</w:t>
      </w:r>
      <w:r w:rsidR="00830071" w:rsidRPr="00D77402">
        <w:rPr>
          <w:rFonts w:eastAsia="Times New Roman"/>
          <w:i/>
          <w:color w:val="7F7F7F" w:themeColor="text1" w:themeTint="80"/>
          <w:lang w:eastAsia="cs-CZ"/>
        </w:rPr>
        <w:t>cení NFV (např. „do 3 měsíců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</w:t>
      </w:r>
      <w:r w:rsidR="00CA2586" w:rsidRPr="00D77402">
        <w:rPr>
          <w:rFonts w:eastAsia="Times New Roman"/>
          <w:i/>
          <w:color w:val="7F7F7F" w:themeColor="text1" w:themeTint="80"/>
          <w:lang w:eastAsia="cs-CZ"/>
        </w:rPr>
        <w:t>od nabytí účinnosti této smlouvy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“), je povinnost </w:t>
      </w:r>
      <w:r w:rsidR="005C4F3E" w:rsidRPr="00D77402">
        <w:rPr>
          <w:rFonts w:eastAsia="Times New Roman"/>
          <w:i/>
          <w:color w:val="7F7F7F" w:themeColor="text1" w:themeTint="80"/>
          <w:lang w:eastAsia="cs-CZ"/>
        </w:rPr>
        <w:t>vrátit NFV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splněna, pokud konec této lhůty připadl na sobotu, neděli nebo svátek, pokud příjemce </w:t>
      </w:r>
      <w:r w:rsidR="005C4F3E" w:rsidRPr="00D77402">
        <w:rPr>
          <w:rFonts w:eastAsia="Times New Roman"/>
          <w:i/>
          <w:color w:val="7F7F7F" w:themeColor="text1" w:themeTint="80"/>
          <w:lang w:eastAsia="cs-CZ"/>
        </w:rPr>
        <w:t>NFV vrátí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nejblíže následující pracovní den. Naopak pokud zde bude pro </w:t>
      </w:r>
      <w:r w:rsidR="005C4F3E" w:rsidRPr="00D77402">
        <w:rPr>
          <w:rFonts w:eastAsia="Times New Roman"/>
          <w:i/>
          <w:color w:val="7F7F7F" w:themeColor="text1" w:themeTint="80"/>
          <w:lang w:eastAsia="cs-CZ"/>
        </w:rPr>
        <w:t>vrácení NFV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stanoven přesn</w:t>
      </w:r>
      <w:r w:rsidR="00E61F43" w:rsidRPr="00D77402">
        <w:rPr>
          <w:rFonts w:eastAsia="Times New Roman"/>
          <w:i/>
          <w:color w:val="7F7F7F" w:themeColor="text1" w:themeTint="80"/>
          <w:lang w:eastAsia="cs-CZ"/>
        </w:rPr>
        <w:t>ý termín (např. „do 31. 12. 202</w:t>
      </w:r>
      <w:r w:rsidR="00A54905" w:rsidRPr="009F070C">
        <w:rPr>
          <w:rFonts w:eastAsia="Times New Roman"/>
          <w:i/>
          <w:color w:val="FF0000"/>
          <w:lang w:eastAsia="cs-CZ"/>
        </w:rPr>
        <w:t>5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“), musí být nejpozději v tento den </w:t>
      </w:r>
      <w:r w:rsidR="005C4F3E" w:rsidRPr="00D77402">
        <w:rPr>
          <w:rFonts w:eastAsia="Times New Roman"/>
          <w:i/>
          <w:color w:val="7F7F7F" w:themeColor="text1" w:themeTint="80"/>
          <w:lang w:eastAsia="cs-CZ"/>
        </w:rPr>
        <w:t>NFV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příjemcem </w:t>
      </w:r>
      <w:r w:rsidR="005C4F3E" w:rsidRPr="00D77402">
        <w:rPr>
          <w:rFonts w:eastAsia="Times New Roman"/>
          <w:i/>
          <w:color w:val="7F7F7F" w:themeColor="text1" w:themeTint="80"/>
          <w:lang w:eastAsia="cs-CZ"/>
        </w:rPr>
        <w:t>vrácena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, i když tento den bude připadat např. na neděli. Totéž se obdobně týká termínu nebo lhůty stanovené pro </w:t>
      </w:r>
      <w:r w:rsidR="005C4F3E" w:rsidRPr="00D77402">
        <w:rPr>
          <w:rFonts w:eastAsia="Times New Roman"/>
          <w:i/>
          <w:color w:val="7F7F7F" w:themeColor="text1" w:themeTint="80"/>
          <w:lang w:eastAsia="cs-CZ"/>
        </w:rPr>
        <w:t>předložení finančního vypořádání NFV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v čl. I</w:t>
      </w:r>
      <w:r w:rsidR="005C4F3E" w:rsidRPr="00D77402">
        <w:rPr>
          <w:rFonts w:eastAsia="Times New Roman"/>
          <w:i/>
          <w:color w:val="7F7F7F" w:themeColor="text1" w:themeTint="80"/>
          <w:lang w:eastAsia="cs-CZ"/>
        </w:rPr>
        <w:t xml:space="preserve">II odst. </w:t>
      </w:r>
      <w:r w:rsidR="005A324B" w:rsidRPr="009F070C">
        <w:rPr>
          <w:rFonts w:eastAsia="Times New Roman"/>
          <w:i/>
          <w:color w:val="FF0000"/>
          <w:lang w:eastAsia="cs-CZ"/>
        </w:rPr>
        <w:t>5</w:t>
      </w:r>
      <w:r w:rsidRPr="00D77402">
        <w:rPr>
          <w:rFonts w:eastAsia="Times New Roman"/>
          <w:i/>
          <w:color w:val="7F7F7F" w:themeColor="text1" w:themeTint="80"/>
          <w:lang w:eastAsia="cs-CZ"/>
        </w:rPr>
        <w:t>)</w:t>
      </w:r>
      <w:r w:rsidR="000528BF" w:rsidRPr="00D77402">
        <w:rPr>
          <w:rFonts w:eastAsia="Times New Roman"/>
          <w:i/>
          <w:color w:val="7F7F7F" w:themeColor="text1" w:themeTint="80"/>
          <w:lang w:eastAsia="cs-CZ"/>
        </w:rPr>
        <w:t>.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5460F87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se zavazuje</w:t>
      </w:r>
      <w:r w:rsidRPr="004B7287">
        <w:rPr>
          <w:rFonts w:ascii="Arial" w:hAnsi="Arial" w:cs="Arial"/>
          <w:sz w:val="24"/>
          <w:szCs w:val="24"/>
        </w:rPr>
        <w:t xml:space="preserve"> </w:t>
      </w:r>
      <w:r w:rsidR="00DC78BD" w:rsidRPr="004B7287">
        <w:rPr>
          <w:rFonts w:ascii="Arial" w:hAnsi="Arial" w:cs="Arial"/>
          <w:sz w:val="24"/>
          <w:szCs w:val="24"/>
        </w:rPr>
        <w:t xml:space="preserve">seznámit </w:t>
      </w:r>
      <w:r w:rsidRPr="001E6255">
        <w:rPr>
          <w:rFonts w:ascii="Arial" w:hAnsi="Arial" w:cs="Arial"/>
          <w:sz w:val="24"/>
          <w:szCs w:val="24"/>
        </w:rPr>
        <w:t>poskytovatele</w:t>
      </w:r>
      <w:r w:rsidR="00DC78BD" w:rsidRPr="004B7287">
        <w:rPr>
          <w:rFonts w:ascii="Arial" w:hAnsi="Arial" w:cs="Arial"/>
          <w:sz w:val="24"/>
          <w:szCs w:val="24"/>
        </w:rPr>
        <w:t>, do 15 dnů od jejich vzniku, s těmito skutečnostmi:</w:t>
      </w:r>
      <w:r w:rsidRPr="004B7287">
        <w:rPr>
          <w:rFonts w:ascii="Arial" w:hAnsi="Arial" w:cs="Arial"/>
          <w:sz w:val="24"/>
          <w:szCs w:val="24"/>
        </w:rPr>
        <w:t xml:space="preserve"> </w:t>
      </w:r>
      <w:r w:rsidR="004716F1" w:rsidRPr="004B7287">
        <w:rPr>
          <w:rFonts w:ascii="Arial" w:hAnsi="Arial" w:cs="Arial"/>
          <w:sz w:val="24"/>
          <w:szCs w:val="24"/>
        </w:rPr>
        <w:t xml:space="preserve">se změnami </w:t>
      </w:r>
      <w:r w:rsidRPr="001E6255">
        <w:rPr>
          <w:rFonts w:ascii="Arial" w:hAnsi="Arial" w:cs="Arial"/>
          <w:sz w:val="24"/>
          <w:szCs w:val="24"/>
        </w:rPr>
        <w:t>adresy sídla,</w:t>
      </w:r>
      <w:r w:rsidR="004716F1">
        <w:rPr>
          <w:rFonts w:ascii="Arial" w:hAnsi="Arial" w:cs="Arial"/>
          <w:sz w:val="24"/>
          <w:szCs w:val="24"/>
        </w:rPr>
        <w:t xml:space="preserve"> </w:t>
      </w:r>
      <w:r w:rsidR="00D077A1">
        <w:rPr>
          <w:rFonts w:ascii="Arial" w:hAnsi="Arial" w:cs="Arial"/>
          <w:sz w:val="24"/>
          <w:szCs w:val="24"/>
        </w:rPr>
        <w:t xml:space="preserve">trvalého </w:t>
      </w:r>
      <w:r w:rsidR="004716F1" w:rsidRPr="004B7287">
        <w:rPr>
          <w:rFonts w:ascii="Arial" w:hAnsi="Arial" w:cs="Arial"/>
          <w:sz w:val="24"/>
          <w:szCs w:val="24"/>
        </w:rPr>
        <w:t xml:space="preserve">bydliště, </w:t>
      </w:r>
      <w:r w:rsidR="004716F1">
        <w:rPr>
          <w:rFonts w:ascii="Arial" w:hAnsi="Arial" w:cs="Arial"/>
          <w:sz w:val="24"/>
          <w:szCs w:val="24"/>
        </w:rPr>
        <w:t>bankovního spojení</w:t>
      </w:r>
      <w:r w:rsidRPr="001E6255">
        <w:rPr>
          <w:rFonts w:ascii="Arial" w:hAnsi="Arial" w:cs="Arial"/>
          <w:sz w:val="24"/>
          <w:szCs w:val="24"/>
        </w:rPr>
        <w:t>, jakož i jiný</w:t>
      </w:r>
      <w:r w:rsidR="00DC78BD">
        <w:rPr>
          <w:rFonts w:ascii="Arial" w:hAnsi="Arial" w:cs="Arial"/>
          <w:sz w:val="24"/>
          <w:szCs w:val="24"/>
        </w:rPr>
        <w:t>mi</w:t>
      </w:r>
      <w:r w:rsidRPr="001E6255">
        <w:rPr>
          <w:rFonts w:ascii="Arial" w:hAnsi="Arial" w:cs="Arial"/>
          <w:sz w:val="24"/>
          <w:szCs w:val="24"/>
        </w:rPr>
        <w:t xml:space="preserve"> změn</w:t>
      </w:r>
      <w:r w:rsidR="00DC78BD">
        <w:rPr>
          <w:rFonts w:ascii="Arial" w:hAnsi="Arial" w:cs="Arial"/>
          <w:sz w:val="24"/>
          <w:szCs w:val="24"/>
        </w:rPr>
        <w:t>ami</w:t>
      </w:r>
      <w:r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</w:p>
    <w:p w14:paraId="52885A74" w14:textId="1572BCD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je povinen nakládat s veškerým majetkem získaným nebo zhodnoceným, byť i jen částečně, z finančních prostředků NFV s péčí řádného hospodáře a tento nezatěžovat bez vědomí a předchozího písemného souhlasu poskytovatele </w:t>
      </w:r>
      <w:r w:rsidRPr="001E6255">
        <w:rPr>
          <w:rFonts w:ascii="Arial" w:hAnsi="Arial" w:cs="Arial"/>
          <w:sz w:val="24"/>
          <w:szCs w:val="24"/>
        </w:rPr>
        <w:lastRenderedPageBreak/>
        <w:t>(s</w:t>
      </w:r>
      <w:r w:rsidR="00672F9F">
        <w:rPr>
          <w:rFonts w:ascii="Arial" w:hAnsi="Arial" w:cs="Arial"/>
          <w:sz w:val="24"/>
          <w:szCs w:val="24"/>
        </w:rPr>
        <w:t> </w:t>
      </w:r>
      <w:r w:rsidRPr="001E6255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5402F2ED" w14:textId="227CA377" w:rsidR="00DC7D4D" w:rsidRPr="00471537" w:rsidRDefault="00DC7D4D" w:rsidP="00F43FA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>Dále je možné</w:t>
      </w:r>
      <w:r w:rsidR="0063254D" w:rsidRPr="00D77402">
        <w:rPr>
          <w:rFonts w:eastAsia="Times New Roman"/>
          <w:i/>
          <w:color w:val="7F7F7F" w:themeColor="text1" w:themeTint="80"/>
          <w:lang w:eastAsia="cs-CZ"/>
        </w:rPr>
        <w:t xml:space="preserve">, že účel bude znít tak, že prostředky NFV mají být použity na realizaci určité činnosti (tj. podporovanou aktivitou bude výkon nějaké činnosti), nikoli na pořízení majetku nebo vedle pořízení majetku. V takovém případě lze příjemce zavázat, aby předmětnou činnost vykonával po určitou dobu, např. takto: </w:t>
      </w:r>
      <w:r w:rsidRPr="009F070C">
        <w:rPr>
          <w:rFonts w:eastAsia="Times New Roman"/>
          <w:iCs/>
          <w:color w:val="0000FF"/>
          <w:lang w:eastAsia="cs-CZ"/>
        </w:rPr>
        <w:t xml:space="preserve">Příjemce je povinen po dobu </w:t>
      </w:r>
      <w:r w:rsidR="00672F9F" w:rsidRPr="009F070C">
        <w:rPr>
          <w:rFonts w:eastAsia="Times New Roman"/>
          <w:iCs/>
          <w:color w:val="0000FF"/>
          <w:lang w:eastAsia="cs-CZ"/>
        </w:rPr>
        <w:t>……………</w:t>
      </w:r>
      <w:r w:rsidR="0063254D" w:rsidRPr="009F070C">
        <w:rPr>
          <w:rFonts w:eastAsia="Times New Roman"/>
          <w:iCs/>
          <w:color w:val="0000FF"/>
          <w:lang w:eastAsia="cs-CZ"/>
        </w:rPr>
        <w:t>.</w:t>
      </w:r>
      <w:r w:rsidRPr="009F070C">
        <w:rPr>
          <w:rFonts w:eastAsia="Times New Roman"/>
          <w:iCs/>
          <w:color w:val="0000FF"/>
          <w:lang w:eastAsia="cs-CZ"/>
        </w:rPr>
        <w:t xml:space="preserve"> ode dne </w:t>
      </w:r>
      <w:r w:rsidR="0063254D" w:rsidRPr="009F070C">
        <w:rPr>
          <w:rFonts w:eastAsia="Times New Roman"/>
          <w:iCs/>
          <w:color w:val="0000FF"/>
          <w:lang w:eastAsia="cs-CZ"/>
        </w:rPr>
        <w:t>poskytnutí NFV</w:t>
      </w:r>
      <w:r w:rsidRPr="009F070C">
        <w:rPr>
          <w:rFonts w:eastAsia="Times New Roman"/>
          <w:iCs/>
          <w:color w:val="0000FF"/>
          <w:lang w:eastAsia="cs-CZ"/>
        </w:rPr>
        <w:t xml:space="preserve"> provozovat činnost, na niž mu byla poskytnuta </w:t>
      </w:r>
      <w:r w:rsidR="0063254D" w:rsidRPr="009F070C">
        <w:rPr>
          <w:rFonts w:eastAsia="Times New Roman"/>
          <w:iCs/>
          <w:color w:val="0000FF"/>
          <w:lang w:eastAsia="cs-CZ"/>
        </w:rPr>
        <w:t>NFV</w:t>
      </w:r>
      <w:r w:rsidRPr="009F070C">
        <w:rPr>
          <w:rFonts w:eastAsia="Times New Roman"/>
          <w:iCs/>
          <w:color w:val="0000FF"/>
          <w:lang w:eastAsia="cs-CZ"/>
        </w:rPr>
        <w:t xml:space="preserve"> a neukončit ji ani nepřerušit bez vědomí a písemného souhlasu poskytovatele</w:t>
      </w:r>
      <w:r w:rsidR="000528BF" w:rsidRPr="009F070C">
        <w:rPr>
          <w:rFonts w:eastAsia="Times New Roman"/>
          <w:iCs/>
          <w:color w:val="0000FF"/>
          <w:lang w:eastAsia="cs-CZ"/>
        </w:rPr>
        <w:t>.</w:t>
      </w:r>
    </w:p>
    <w:p w14:paraId="102E3F53" w14:textId="2B54BEF7" w:rsidR="00DC7D4D" w:rsidRPr="00471537" w:rsidRDefault="0063254D" w:rsidP="00F43FA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Lze také sjednat povinnost příjemce zachovat vlastnictví či dispoziční oprávnění k majetku pořízenému z prostředků NFV i po </w:t>
      </w:r>
      <w:r w:rsidR="00532EDD" w:rsidRPr="00D77402">
        <w:rPr>
          <w:rFonts w:eastAsia="Times New Roman"/>
          <w:i/>
          <w:color w:val="7F7F7F" w:themeColor="text1" w:themeTint="80"/>
          <w:lang w:eastAsia="cs-CZ"/>
        </w:rPr>
        <w:t xml:space="preserve">jejím 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vrácení, např. takto: </w:t>
      </w:r>
      <w:r w:rsidR="00DC7D4D" w:rsidRPr="009F070C">
        <w:rPr>
          <w:rFonts w:eastAsia="Times New Roman"/>
          <w:iCs/>
          <w:color w:val="0000FF"/>
          <w:lang w:eastAsia="cs-CZ"/>
        </w:rPr>
        <w:t xml:space="preserve">Příjemce nesmí majetek pořízený z </w:t>
      </w:r>
      <w:r w:rsidRPr="009F070C">
        <w:rPr>
          <w:rFonts w:eastAsia="Times New Roman"/>
          <w:iCs/>
          <w:color w:val="0000FF"/>
          <w:lang w:eastAsia="cs-CZ"/>
        </w:rPr>
        <w:t>NFV</w:t>
      </w:r>
      <w:r w:rsidR="00DC7D4D" w:rsidRPr="009F070C">
        <w:rPr>
          <w:rFonts w:eastAsia="Times New Roman"/>
          <w:iCs/>
          <w:color w:val="0000FF"/>
          <w:lang w:eastAsia="cs-CZ"/>
        </w:rPr>
        <w:t xml:space="preserve"> po dobu </w:t>
      </w:r>
      <w:r w:rsidRPr="009F070C">
        <w:rPr>
          <w:rFonts w:eastAsia="Times New Roman"/>
          <w:iCs/>
          <w:color w:val="0000FF"/>
          <w:lang w:eastAsia="cs-CZ"/>
        </w:rPr>
        <w:t>………</w:t>
      </w:r>
      <w:r w:rsidR="00672F9F" w:rsidRPr="009F070C">
        <w:rPr>
          <w:rFonts w:eastAsia="Times New Roman"/>
          <w:iCs/>
          <w:color w:val="0000FF"/>
          <w:lang w:eastAsia="cs-CZ"/>
        </w:rPr>
        <w:t>……</w:t>
      </w:r>
      <w:r w:rsidR="00DC7D4D" w:rsidRPr="009F070C">
        <w:rPr>
          <w:rFonts w:eastAsia="Times New Roman"/>
          <w:iCs/>
          <w:color w:val="0000FF"/>
          <w:lang w:eastAsia="cs-CZ"/>
        </w:rPr>
        <w:t xml:space="preserve"> od vrácení </w:t>
      </w:r>
      <w:r w:rsidRPr="009F070C">
        <w:rPr>
          <w:rFonts w:eastAsia="Times New Roman"/>
          <w:iCs/>
          <w:color w:val="0000FF"/>
          <w:lang w:eastAsia="cs-CZ"/>
        </w:rPr>
        <w:t>NFV</w:t>
      </w:r>
      <w:r w:rsidR="00DC7D4D" w:rsidRPr="009F070C">
        <w:rPr>
          <w:rFonts w:eastAsia="Times New Roman"/>
          <w:iCs/>
          <w:color w:val="0000FF"/>
          <w:lang w:eastAsia="cs-CZ"/>
        </w:rPr>
        <w:t xml:space="preserve"> převést na jinou osobu. Po stejnou dobu nesmí příjemce majetek, </w:t>
      </w:r>
      <w:r w:rsidR="008567EA" w:rsidRPr="009F070C">
        <w:rPr>
          <w:rFonts w:eastAsia="Times New Roman"/>
          <w:iCs/>
          <w:color w:val="0000FF"/>
          <w:lang w:eastAsia="cs-CZ"/>
        </w:rPr>
        <w:t>nebo</w:t>
      </w:r>
      <w:r w:rsidR="00DC7D4D" w:rsidRPr="009F070C">
        <w:rPr>
          <w:rFonts w:eastAsia="Times New Roman"/>
          <w:iCs/>
          <w:color w:val="0000FF"/>
          <w:lang w:eastAsia="cs-CZ"/>
        </w:rPr>
        <w:t xml:space="preserve"> jeho části, pořízený z</w:t>
      </w:r>
      <w:r w:rsidRPr="009F070C">
        <w:rPr>
          <w:rFonts w:eastAsia="Times New Roman"/>
          <w:iCs/>
          <w:color w:val="0000FF"/>
          <w:lang w:eastAsia="cs-CZ"/>
        </w:rPr>
        <w:t xml:space="preserve"> NFV </w:t>
      </w:r>
      <w:r w:rsidR="00DC7D4D" w:rsidRPr="009F070C">
        <w:rPr>
          <w:rFonts w:eastAsia="Times New Roman"/>
          <w:iCs/>
          <w:color w:val="0000FF"/>
          <w:lang w:eastAsia="cs-CZ"/>
        </w:rPr>
        <w:t xml:space="preserve">prodat nebo pronajmout či darovat bez vědomí a </w:t>
      </w:r>
      <w:r w:rsidRPr="009F070C">
        <w:rPr>
          <w:rFonts w:eastAsia="Times New Roman"/>
          <w:iCs/>
          <w:color w:val="0000FF"/>
          <w:lang w:eastAsia="cs-CZ"/>
        </w:rPr>
        <w:t xml:space="preserve">předchozího </w:t>
      </w:r>
      <w:r w:rsidR="00DC7D4D" w:rsidRPr="009F070C">
        <w:rPr>
          <w:rFonts w:eastAsia="Times New Roman"/>
          <w:iCs/>
          <w:color w:val="0000FF"/>
          <w:lang w:eastAsia="cs-CZ"/>
        </w:rPr>
        <w:t xml:space="preserve">písemného souhlasu </w:t>
      </w:r>
      <w:r w:rsidRPr="009F070C">
        <w:rPr>
          <w:rFonts w:eastAsia="Times New Roman"/>
          <w:iCs/>
          <w:color w:val="0000FF"/>
          <w:lang w:eastAsia="cs-CZ"/>
        </w:rPr>
        <w:t>poskytovatele.</w:t>
      </w:r>
    </w:p>
    <w:p w14:paraId="594002BB" w14:textId="0CE944D8" w:rsidR="00263573" w:rsidRPr="00114B9C" w:rsidRDefault="00244DC9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14B9C">
        <w:rPr>
          <w:rFonts w:ascii="Arial" w:hAnsi="Arial" w:cs="Arial"/>
          <w:sz w:val="24"/>
          <w:szCs w:val="24"/>
        </w:rPr>
        <w:t xml:space="preserve">Příjemce je povinen předložit poskytovateli </w:t>
      </w:r>
      <w:r w:rsidR="00DF43CD">
        <w:rPr>
          <w:rFonts w:ascii="Arial" w:hAnsi="Arial" w:cs="Arial"/>
          <w:sz w:val="24"/>
          <w:szCs w:val="24"/>
        </w:rPr>
        <w:t xml:space="preserve">nejpozději do …………… </w:t>
      </w:r>
      <w:r w:rsidRPr="00114B9C">
        <w:rPr>
          <w:rFonts w:ascii="Arial" w:hAnsi="Arial" w:cs="Arial"/>
          <w:sz w:val="24"/>
          <w:szCs w:val="24"/>
        </w:rPr>
        <w:t xml:space="preserve">finanční vypořádání </w:t>
      </w:r>
      <w:r w:rsidR="006B0049" w:rsidRPr="00114B9C">
        <w:rPr>
          <w:rFonts w:ascii="Arial" w:hAnsi="Arial" w:cs="Arial"/>
          <w:sz w:val="24"/>
          <w:szCs w:val="24"/>
        </w:rPr>
        <w:t>N</w:t>
      </w:r>
      <w:r w:rsidRPr="00114B9C">
        <w:rPr>
          <w:rFonts w:ascii="Arial" w:hAnsi="Arial" w:cs="Arial"/>
          <w:sz w:val="24"/>
          <w:szCs w:val="24"/>
        </w:rPr>
        <w:t>F</w:t>
      </w:r>
      <w:r w:rsidR="006B0049" w:rsidRPr="00114B9C">
        <w:rPr>
          <w:rFonts w:ascii="Arial" w:hAnsi="Arial" w:cs="Arial"/>
          <w:sz w:val="24"/>
          <w:szCs w:val="24"/>
        </w:rPr>
        <w:t>V</w:t>
      </w:r>
      <w:r w:rsidR="00263573" w:rsidRPr="00114B9C">
        <w:rPr>
          <w:rFonts w:ascii="Arial" w:hAnsi="Arial" w:cs="Arial"/>
          <w:sz w:val="24"/>
          <w:szCs w:val="24"/>
        </w:rPr>
        <w:t xml:space="preserve"> ve smyslu §</w:t>
      </w:r>
      <w:r w:rsidR="00801965">
        <w:rPr>
          <w:rFonts w:ascii="Arial" w:hAnsi="Arial" w:cs="Arial"/>
          <w:sz w:val="24"/>
          <w:szCs w:val="24"/>
        </w:rPr>
        <w:t> </w:t>
      </w:r>
      <w:r w:rsidRPr="00114B9C">
        <w:rPr>
          <w:rFonts w:ascii="Arial" w:hAnsi="Arial" w:cs="Arial"/>
          <w:sz w:val="24"/>
          <w:szCs w:val="24"/>
        </w:rPr>
        <w:t>10a odst. 1 písm. e) zákona č. 250/2000 Sb.,</w:t>
      </w:r>
      <w:r w:rsidR="00B75065">
        <w:rPr>
          <w:rFonts w:ascii="Arial" w:hAnsi="Arial" w:cs="Arial"/>
          <w:sz w:val="24"/>
          <w:szCs w:val="24"/>
        </w:rPr>
        <w:t xml:space="preserve">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875169">
        <w:rPr>
          <w:rFonts w:ascii="Arial" w:hAnsi="Arial" w:cs="Arial"/>
          <w:sz w:val="24"/>
          <w:szCs w:val="24"/>
        </w:rPr>
        <w:t xml:space="preserve">, a to </w:t>
      </w:r>
      <w:r w:rsidR="00530CD7" w:rsidRPr="00114B9C">
        <w:rPr>
          <w:rFonts w:ascii="Arial" w:hAnsi="Arial" w:cs="Arial"/>
          <w:sz w:val="24"/>
          <w:szCs w:val="24"/>
        </w:rPr>
        <w:t>v rozsahu</w:t>
      </w:r>
      <w:r w:rsidR="00801965">
        <w:rPr>
          <w:rFonts w:ascii="Arial" w:hAnsi="Arial" w:cs="Arial"/>
          <w:sz w:val="24"/>
          <w:szCs w:val="24"/>
        </w:rPr>
        <w:t>:</w:t>
      </w:r>
    </w:p>
    <w:p w14:paraId="07B5A6E4" w14:textId="6618061A" w:rsidR="006B0049" w:rsidRPr="00471537" w:rsidRDefault="00244DC9" w:rsidP="009E0268">
      <w:pPr>
        <w:pStyle w:val="Default"/>
        <w:numPr>
          <w:ilvl w:val="0"/>
          <w:numId w:val="15"/>
        </w:numPr>
        <w:spacing w:after="60"/>
        <w:ind w:left="850" w:hanging="425"/>
        <w:jc w:val="both"/>
      </w:pPr>
      <w:r w:rsidRPr="00471537">
        <w:t xml:space="preserve">přehled o čerpání a použití </w:t>
      </w:r>
      <w:r w:rsidR="006B0049" w:rsidRPr="00471537">
        <w:t>N</w:t>
      </w:r>
      <w:r w:rsidRPr="00471537">
        <w:t>F</w:t>
      </w:r>
      <w:r w:rsidR="006B0049" w:rsidRPr="00471537">
        <w:t>V</w:t>
      </w:r>
      <w:r w:rsidRPr="00471537">
        <w:t xml:space="preserve"> a tento bude obsahovat: </w:t>
      </w:r>
    </w:p>
    <w:p w14:paraId="5ED01BF8" w14:textId="751CD164" w:rsidR="006B0049" w:rsidRPr="00471537" w:rsidRDefault="00421951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>
        <w:t>-</w:t>
      </w:r>
      <w:r>
        <w:tab/>
      </w:r>
      <w:r w:rsidR="00404539" w:rsidRPr="00D77402">
        <w:rPr>
          <w:rFonts w:eastAsia="Times New Roman"/>
          <w:i/>
          <w:color w:val="7F7F7F" w:themeColor="text1" w:themeTint="80"/>
          <w:lang w:eastAsia="cs-CZ"/>
        </w:rPr>
        <w:t>lze uvést, bude-li to pro kontrolní činnost užitečné:</w:t>
      </w:r>
      <w:r w:rsidR="00404539" w:rsidRPr="00D77402">
        <w:rPr>
          <w:color w:val="7F7F7F" w:themeColor="text1" w:themeTint="80"/>
        </w:rPr>
        <w:t xml:space="preserve"> </w:t>
      </w:r>
      <w:r w:rsidR="00244DC9" w:rsidRPr="00471537">
        <w:t>zprávu o realizaci</w:t>
      </w:r>
      <w:r w:rsidR="006B0049" w:rsidRPr="00471537">
        <w:t xml:space="preserve"> </w:t>
      </w:r>
      <w:r w:rsidR="00D464F4" w:rsidRPr="00471537">
        <w:t xml:space="preserve">podporované aktivity </w:t>
      </w:r>
      <w:r w:rsidR="00244DC9" w:rsidRPr="00471537">
        <w:t>včetně reka</w:t>
      </w:r>
      <w:r>
        <w:t>pitulace celkového financování,</w:t>
      </w:r>
      <w:r w:rsidR="001E60C3">
        <w:t xml:space="preserve"> která bude obsahovat informace o tom, zda a kdy se podporovaná aktivita realizovala, kdy a jaké výdaje byly použity, </w:t>
      </w:r>
    </w:p>
    <w:p w14:paraId="70CDDA33" w14:textId="6D2EDF25" w:rsidR="006B0049" w:rsidRPr="00471537" w:rsidRDefault="006B0049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 w:rsidRPr="00471537">
        <w:t>-</w:t>
      </w:r>
      <w:r w:rsidR="009E0268">
        <w:tab/>
      </w:r>
      <w:r w:rsidR="00244DC9" w:rsidRPr="00471537">
        <w:t xml:space="preserve">soupis </w:t>
      </w:r>
      <w:r w:rsidR="00204CB1">
        <w:t>výdajů</w:t>
      </w:r>
      <w:r w:rsidR="00204CB1" w:rsidRPr="00471537">
        <w:t xml:space="preserve"> </w:t>
      </w:r>
      <w:r w:rsidR="00244DC9" w:rsidRPr="00471537">
        <w:t xml:space="preserve">hrazených z poskytnuté </w:t>
      </w:r>
      <w:r w:rsidRPr="00471537">
        <w:t>NFV</w:t>
      </w:r>
      <w:r w:rsidR="00244DC9" w:rsidRPr="00471537">
        <w:t xml:space="preserve"> včetně fotokopií příslušných účetní</w:t>
      </w:r>
      <w:r w:rsidR="00FE56D3" w:rsidRPr="00471537">
        <w:t>ch</w:t>
      </w:r>
      <w:r w:rsidRPr="00471537">
        <w:t xml:space="preserve"> </w:t>
      </w:r>
      <w:r w:rsidR="00244DC9" w:rsidRPr="00471537">
        <w:t xml:space="preserve">dokladů a výpisů z účtu, </w:t>
      </w:r>
      <w:r w:rsidR="00476124" w:rsidRPr="00471537">
        <w:t xml:space="preserve">soupis výdajů doloží příjemce čestným prohlášením o tom, že celkové skutečně vynaložené výdaje uvedené v soupisu jsou pravdivé a úplné, </w:t>
      </w:r>
    </w:p>
    <w:p w14:paraId="2438BFF4" w14:textId="10CCF2DA" w:rsidR="00476124" w:rsidRPr="00471537" w:rsidRDefault="006B0049" w:rsidP="009E0268">
      <w:pPr>
        <w:pStyle w:val="Default"/>
        <w:tabs>
          <w:tab w:val="left" w:pos="1134"/>
        </w:tabs>
        <w:spacing w:after="120"/>
        <w:ind w:left="1134" w:hanging="283"/>
        <w:jc w:val="both"/>
      </w:pPr>
      <w:r w:rsidRPr="00471537">
        <w:t>-</w:t>
      </w:r>
      <w:r w:rsidR="009E0268">
        <w:tab/>
      </w:r>
      <w:r w:rsidR="00244DC9" w:rsidRPr="00471537">
        <w:t>čestné prohlášení o úplnosti, správnosti a pravdivosti předaných dokladů.</w:t>
      </w:r>
    </w:p>
    <w:p w14:paraId="3DC83C86" w14:textId="38320FE2" w:rsidR="00404539" w:rsidRDefault="00404539" w:rsidP="009E0268">
      <w:pPr>
        <w:pStyle w:val="Default"/>
        <w:numPr>
          <w:ilvl w:val="0"/>
          <w:numId w:val="15"/>
        </w:numPr>
        <w:spacing w:after="120"/>
        <w:ind w:left="851" w:hanging="425"/>
        <w:jc w:val="both"/>
      </w:pPr>
      <w:r w:rsidRPr="00471537">
        <w:t>P</w:t>
      </w:r>
      <w:r w:rsidR="00244DC9" w:rsidRPr="00471537">
        <w:t>řehled</w:t>
      </w:r>
      <w:r>
        <w:t>/</w:t>
      </w:r>
      <w:r w:rsidR="007A10E0" w:rsidRPr="009F070C">
        <w:rPr>
          <w:color w:val="FF0000"/>
        </w:rPr>
        <w:t>I</w:t>
      </w:r>
      <w:r>
        <w:t>nformace</w:t>
      </w:r>
      <w:r w:rsidR="00D077A1">
        <w:t xml:space="preserve"> o vrácení NFV</w:t>
      </w:r>
      <w:r w:rsidR="00244DC9" w:rsidRPr="00471537">
        <w:t xml:space="preserve"> poskytovatel</w:t>
      </w:r>
      <w:r w:rsidR="003549DC">
        <w:t>i</w:t>
      </w:r>
      <w:r w:rsidR="00D464F4" w:rsidRPr="00471537">
        <w:t>.</w:t>
      </w:r>
      <w:r>
        <w:t xml:space="preserve"> </w:t>
      </w:r>
    </w:p>
    <w:p w14:paraId="0CB34866" w14:textId="053BD950" w:rsidR="00404539" w:rsidRPr="00D77402" w:rsidRDefault="00404539" w:rsidP="00404539">
      <w:pPr>
        <w:pStyle w:val="Default"/>
        <w:spacing w:after="120"/>
        <w:ind w:left="851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>Slovo „</w:t>
      </w:r>
      <w:r w:rsidR="007A10E0" w:rsidRPr="009F070C">
        <w:rPr>
          <w:rFonts w:eastAsia="Times New Roman"/>
          <w:i/>
          <w:color w:val="FF0000"/>
          <w:lang w:eastAsia="cs-CZ"/>
        </w:rPr>
        <w:t>P</w:t>
      </w:r>
      <w:r w:rsidRPr="00D77402">
        <w:rPr>
          <w:rFonts w:eastAsia="Times New Roman"/>
          <w:i/>
          <w:color w:val="7F7F7F" w:themeColor="text1" w:themeTint="80"/>
          <w:lang w:eastAsia="cs-CZ"/>
        </w:rPr>
        <w:t>řehled“ se použije, pokud bude NFV vracená ve splátkách a slovo „Informace“ se použije při vracení jednorázově.</w:t>
      </w:r>
    </w:p>
    <w:p w14:paraId="36D3B181" w14:textId="6E57AA00" w:rsidR="00476124" w:rsidRPr="00471537" w:rsidRDefault="00476124" w:rsidP="00815A0D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NFV na podporovanou aktivitu, na jejíž realizaci byla poskytnuta NFV</w:t>
      </w:r>
      <w:r w:rsidR="006110B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bude doložený:</w:t>
      </w:r>
    </w:p>
    <w:p w14:paraId="724D6A64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815A0D">
        <w:t>fotokopiemi</w:t>
      </w:r>
      <w:r w:rsidRPr="00471537">
        <w:rPr>
          <w:rFonts w:eastAsia="Times New Roman"/>
          <w:lang w:eastAsia="cs-CZ"/>
        </w:rPr>
        <w:t xml:space="preserve"> faktur s podrobným rozpisem dodávky (případně dodacím listem), popřípadě jiných účetních dokladů včetně příloh, prokazujících vynaložení výdajů,</w:t>
      </w:r>
    </w:p>
    <w:p w14:paraId="1EF777F0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 xml:space="preserve">fotokopiemi výdajových dokladů včetně příloh (stvrzenky, paragony apod.), na </w:t>
      </w:r>
      <w:proofErr w:type="gramStart"/>
      <w:r w:rsidRPr="00471537">
        <w:rPr>
          <w:rFonts w:eastAsia="Times New Roman"/>
          <w:lang w:eastAsia="cs-CZ"/>
        </w:rPr>
        <w:t>základě</w:t>
      </w:r>
      <w:proofErr w:type="gramEnd"/>
      <w:r w:rsidRPr="00471537">
        <w:rPr>
          <w:rFonts w:eastAsia="Times New Roman"/>
          <w:lang w:eastAsia="cs-CZ"/>
        </w:rPr>
        <w:t xml:space="preserve"> kterých je pokladní doklad vystaven, a to pouze u jednotlivých výdajů přesahujících částku 1000 Kč. U jednotlivých výdajů do výše 1000 Kč doloží příjemce pouze soupis těchto výdajů,</w:t>
      </w:r>
    </w:p>
    <w:p w14:paraId="16C10489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všech výpisů z bankovního účtu, které dokládají úhradu předložených faktur, s vyznačením dotčených plateb,</w:t>
      </w:r>
    </w:p>
    <w:p w14:paraId="05D7C727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120"/>
        <w:ind w:left="850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lastRenderedPageBreak/>
        <w:t xml:space="preserve">čestným prohlášením, že fotokopie předaných dokladů jsou shodné s originály a výdaje uvedené v soupisu jsou shodné se záznamy v účetnictví příjemce </w:t>
      </w:r>
    </w:p>
    <w:p w14:paraId="41FFCC4E" w14:textId="4D529CC2" w:rsidR="00992244" w:rsidRPr="00D77402" w:rsidRDefault="00476124" w:rsidP="007C3FA3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doplnit další přílohy </w:t>
      </w:r>
      <w:r w:rsidR="00E4159F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vypořádání </w:t>
      </w: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dle potřeb kraje (např. kopie </w:t>
      </w:r>
      <w:proofErr w:type="gramStart"/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smluv,</w:t>
      </w:r>
      <w:proofErr w:type="gramEnd"/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atd.).</w:t>
      </w:r>
    </w:p>
    <w:p w14:paraId="4A6E5B25" w14:textId="3B4F92E9" w:rsidR="006F70D6" w:rsidRPr="00D77402" w:rsidRDefault="006F70D6" w:rsidP="006F70D6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Společně s finančním vypořádáním NFV </w:t>
      </w:r>
      <w:r w:rsidRPr="00471537">
        <w:rPr>
          <w:rFonts w:ascii="Arial" w:hAnsi="Arial" w:cs="Arial"/>
          <w:sz w:val="24"/>
          <w:szCs w:val="24"/>
        </w:rPr>
        <w:t xml:space="preserve">příjemce předloží poskytovateli </w:t>
      </w:r>
      <w:r>
        <w:rPr>
          <w:rFonts w:ascii="Arial" w:hAnsi="Arial" w:cs="Arial"/>
          <w:sz w:val="24"/>
          <w:szCs w:val="24"/>
        </w:rPr>
        <w:t>také z</w:t>
      </w:r>
      <w:r w:rsidRPr="00471537">
        <w:rPr>
          <w:rFonts w:ascii="Arial" w:hAnsi="Arial" w:cs="Arial"/>
          <w:sz w:val="24"/>
          <w:szCs w:val="24"/>
        </w:rPr>
        <w:t>ávěrečnou zprávu</w:t>
      </w:r>
      <w:r>
        <w:rPr>
          <w:rFonts w:ascii="Arial" w:hAnsi="Arial" w:cs="Arial"/>
          <w:sz w:val="24"/>
          <w:szCs w:val="24"/>
        </w:rPr>
        <w:t>.</w:t>
      </w:r>
      <w:r w:rsidRPr="00471537">
        <w:rPr>
          <w:rFonts w:ascii="Arial" w:hAnsi="Arial" w:cs="Arial"/>
          <w:sz w:val="24"/>
          <w:szCs w:val="24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v jaké formě příjemce závěrečnou zprávu zpracuje, kolik vyhotovení poskytovateli předá, co jsou minimální náležitosti zprávy apod.).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fotodokumentaci z průběhu podporované aktivity</w:t>
      </w:r>
      <w:r w:rsidR="0005605D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je</w:t>
      </w:r>
      <w:r w:rsidR="0005605D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-</w:t>
      </w: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li to dle její povahy možné, </w:t>
      </w:r>
      <w:r w:rsidR="0005605D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prokázání propagace poskytovatele </w:t>
      </w:r>
      <w:r w:rsidR="00721370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užití jeho loga </w:t>
      </w:r>
      <w:r w:rsidR="0005605D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dle </w:t>
      </w:r>
      <w:r w:rsidR="00570465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čl. III </w:t>
      </w:r>
      <w:r w:rsidR="004B7C3F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 7</w:t>
      </w:r>
      <w:r w:rsidR="0005605D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0D4D9B77" w14:textId="07F8FABD" w:rsidR="004444AC" w:rsidRPr="00ED0C18" w:rsidRDefault="00992244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a závěrečnou zprávu</w:t>
      </w:r>
      <w:r w:rsidR="0038665F">
        <w:rPr>
          <w:rFonts w:ascii="Arial" w:eastAsia="Times New Roman" w:hAnsi="Arial" w:cs="Arial"/>
          <w:sz w:val="24"/>
          <w:szCs w:val="24"/>
          <w:lang w:eastAsia="cs-CZ"/>
        </w:rPr>
        <w:t xml:space="preserve"> ve lhůtě/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v 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7551D083" w14:textId="5EB8F9DC" w:rsidR="00263573" w:rsidRPr="009F070C" w:rsidRDefault="0063254D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9F070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Příjemce je povinen označit logem Olomouckého kraje své případné propagační materiály, které vytvoří v rámci podporované aktivity, na niž byla poskytnuta návratná finanční výpomoc</w:t>
      </w:r>
      <w:r w:rsidR="00BC6DA3" w:rsidRPr="009F070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a umístit reklamní panel, nebo obdobné zařízení, s logem Olomouckého kraje do místa, ve kterém je prováděna podporovaná aktivita</w:t>
      </w:r>
      <w:r w:rsidR="002F6847" w:rsidRPr="009F070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dobu…..</w:t>
      </w:r>
      <w:r w:rsidRPr="009F070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 K tomuto účelu poskytovatel uděluje příjemci souhlas s bezúplatným užitím loga Olomouckého kraje.</w:t>
      </w:r>
      <w:r w:rsidR="00316A9C" w:rsidRPr="009F070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Příjemce je povinen pořídit fotodokumentaci o propagaci poskytovatele při podporované aktivitě a minimálně dvě fotografie dokladující propagaci poskytovatele na viditelném veřejně přístupném místě musí předložit poskytovateli společně se závěrečnou zprávou.</w:t>
      </w:r>
    </w:p>
    <w:p w14:paraId="5EB918D7" w14:textId="20AF9249" w:rsidR="004D1EAC" w:rsidRPr="00D77402" w:rsidRDefault="004B7C3F" w:rsidP="00853675">
      <w:pPr>
        <w:pStyle w:val="Default"/>
        <w:spacing w:after="120"/>
        <w:ind w:left="426"/>
        <w:jc w:val="both"/>
        <w:rPr>
          <w:rFonts w:eastAsia="Times New Roman"/>
          <w:i/>
          <w:iCs/>
          <w:color w:val="7F7F7F" w:themeColor="text1" w:themeTint="80"/>
          <w:lang w:eastAsia="cs-CZ"/>
        </w:rPr>
      </w:pPr>
      <w:r w:rsidRPr="00D77402">
        <w:rPr>
          <w:rFonts w:eastAsia="Times New Roman"/>
          <w:i/>
          <w:iCs/>
          <w:color w:val="7F7F7F" w:themeColor="text1" w:themeTint="80"/>
          <w:lang w:eastAsia="cs-CZ"/>
        </w:rPr>
        <w:t>Toto ustanovení (odst. 7</w:t>
      </w:r>
      <w:r w:rsidR="004D1EAC" w:rsidRPr="00D77402">
        <w:rPr>
          <w:rFonts w:eastAsia="Times New Roman"/>
          <w:i/>
          <w:iCs/>
          <w:color w:val="7F7F7F" w:themeColor="text1" w:themeTint="80"/>
          <w:lang w:eastAsia="cs-CZ"/>
        </w:rPr>
        <w:t>) lze do smlouvy vložit, má-li na tom kraj zájem</w:t>
      </w:r>
      <w:r w:rsidR="00BF21CB" w:rsidRPr="00D77402">
        <w:rPr>
          <w:rFonts w:eastAsia="Times New Roman"/>
          <w:i/>
          <w:iCs/>
          <w:color w:val="7F7F7F" w:themeColor="text1" w:themeTint="80"/>
          <w:lang w:eastAsia="cs-CZ"/>
        </w:rPr>
        <w:t>, příp. je možné jej upravit dle potřeb</w:t>
      </w:r>
      <w:r w:rsidR="00B108C7" w:rsidRPr="00D77402">
        <w:rPr>
          <w:rFonts w:eastAsia="Times New Roman"/>
          <w:i/>
          <w:iCs/>
          <w:color w:val="7F7F7F" w:themeColor="text1" w:themeTint="80"/>
          <w:lang w:eastAsia="cs-CZ"/>
        </w:rPr>
        <w:t xml:space="preserve"> kraje</w:t>
      </w:r>
      <w:r w:rsidR="004D1EAC" w:rsidRPr="00D77402">
        <w:rPr>
          <w:rFonts w:eastAsia="Times New Roman"/>
          <w:i/>
          <w:iCs/>
          <w:color w:val="7F7F7F" w:themeColor="text1" w:themeTint="80"/>
          <w:lang w:eastAsia="cs-CZ"/>
        </w:rPr>
        <w:t>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A4F93A9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lastRenderedPageBreak/>
        <w:t>Za porušení rozpočtové kázně uloží poskytovatel příjemci odvod ve výši stanovené platnými právními předpisy.</w:t>
      </w:r>
    </w:p>
    <w:p w14:paraId="443FDD74" w14:textId="1A7F3045" w:rsidR="00316A9C" w:rsidRPr="00E45864" w:rsidRDefault="00C11B8F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45864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……………. </w:t>
      </w: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nutné upravit dle požadavků OE.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737F9ED" w14:textId="25924887" w:rsidR="00A12A57" w:rsidRPr="004D2138" w:rsidRDefault="00A12A57" w:rsidP="00A12A57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B72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AB535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4B72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AB535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4B72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Odkaz na odst. 13 se uvede v případě, že </w:t>
      </w:r>
      <w:r w:rsidR="00AB5356"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NFV</w:t>
      </w:r>
      <w:r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bude poskytována v režimu de minimis, tj. pokud budou </w:t>
      </w:r>
      <w:r w:rsidR="00D819BF"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v tomto čl. V </w:t>
      </w:r>
      <w:r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uvedeny odstavce </w:t>
      </w:r>
      <w:r w:rsidR="00D819BF"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3-6</w:t>
      </w:r>
      <w:r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297BB2B8" w14:textId="77777777" w:rsidR="00A12A57" w:rsidRPr="005F0780" w:rsidRDefault="00A12A57" w:rsidP="00A12A57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4B72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Zásad, kterou ve lhůtě stanovené Zásadami neoznámil poskytovateli.</w:t>
      </w:r>
    </w:p>
    <w:p w14:paraId="042FD0C6" w14:textId="0C8C1B7E" w:rsidR="007C41D9" w:rsidRPr="006F30A5" w:rsidRDefault="00CA4FBF" w:rsidP="006C2214">
      <w:pPr>
        <w:numPr>
          <w:ilvl w:val="0"/>
          <w:numId w:val="2"/>
        </w:numPr>
        <w:tabs>
          <w:tab w:val="clear" w:pos="567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Ve smlouvách, kde NFV bude poskytována v režimu de minimis</w:t>
      </w:r>
      <w:r w:rsidR="00854962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se uvede:</w:t>
      </w:r>
      <w:r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7C41D9" w:rsidRPr="000A312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NFV je na základě této smlouvy poskytována </w:t>
      </w:r>
      <w:r w:rsidR="00D90FD3" w:rsidRPr="009F070C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minimis.</w:t>
      </w:r>
      <w:r w:rsidR="00D90FD3" w:rsidRPr="009F070C" w:rsidDel="00D90FD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7C41D9" w:rsidRPr="009F07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za splnění podmínek Nařízení Komise (EU) č. 1407/2013 ze dne 18. prosince 2013 o použití článků 107 a 108 Smlouvy o fungování Evropské unie na podporu de minimis, které bylo zveřejněno v Úředním věstníku Evropské unie č. L 352/1 dne 24. prosince 2013.</w:t>
      </w:r>
      <w:r w:rsidR="007C41D9" w:rsidRPr="009F070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7C41D9" w:rsidRPr="000A3128">
        <w:rPr>
          <w:rFonts w:ascii="Arial" w:eastAsia="Times New Roman" w:hAnsi="Arial" w:cs="Arial"/>
          <w:sz w:val="24"/>
          <w:szCs w:val="24"/>
          <w:lang w:eastAsia="cs-CZ"/>
        </w:rPr>
        <w:t>Výše podpory de minimis zadávaná do Centrálního registru podpor malého rozsahu dle této smlouvy se rovná výši úroků vypočtených v souladu se Sdělením Komise o revizi metody stanovování referenčních a diskontních sazeb ze dne 19. 1. 2008 (publikováno v Úředním věstníku Evropské unie dne 19. ledna 2008 v částce C 14/6). Pro výpočet výše úroků (výše podpory de minimis) dle předchozí věty se použije Evropskou komisí vždy poslední upravená základní sazba pro výpočet referenční a diskontní sazby v České republice zvýšena o 100 základních bodů, platná ke dni účinnosti této smlouvy.</w:t>
      </w:r>
    </w:p>
    <w:p w14:paraId="3968FDA4" w14:textId="77777777" w:rsidR="007C41D9" w:rsidRPr="00D77402" w:rsidRDefault="007C41D9" w:rsidP="006C2214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F7697C">
        <w:rPr>
          <w:rFonts w:ascii="Arial" w:hAnsi="Arial" w:cs="Arial"/>
          <w:color w:val="000000"/>
          <w:sz w:val="24"/>
          <w:szCs w:val="24"/>
        </w:rPr>
        <w:t xml:space="preserve">Výše </w:t>
      </w:r>
      <w:r>
        <w:rPr>
          <w:rFonts w:ascii="Arial" w:hAnsi="Arial" w:cs="Arial"/>
          <w:color w:val="000000"/>
          <w:sz w:val="24"/>
          <w:szCs w:val="24"/>
        </w:rPr>
        <w:t>podpory de minimis</w:t>
      </w:r>
      <w:r w:rsidRPr="00F7697C">
        <w:rPr>
          <w:rFonts w:ascii="Arial" w:hAnsi="Arial" w:cs="Arial"/>
          <w:color w:val="000000"/>
          <w:sz w:val="24"/>
          <w:szCs w:val="24"/>
        </w:rPr>
        <w:t xml:space="preserve"> vypočtená dle přechozího odstavce činí </w:t>
      </w:r>
      <w:r w:rsidRPr="00F64556">
        <w:rPr>
          <w:rFonts w:ascii="Arial" w:hAnsi="Arial" w:cs="Arial"/>
          <w:b/>
          <w:bCs/>
          <w:color w:val="0000FF"/>
          <w:sz w:val="24"/>
          <w:szCs w:val="24"/>
        </w:rPr>
        <w:t>…………….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F7697C">
        <w:rPr>
          <w:rFonts w:ascii="Arial" w:hAnsi="Arial" w:cs="Arial"/>
          <w:b/>
          <w:bCs/>
          <w:color w:val="000000"/>
          <w:sz w:val="24"/>
          <w:szCs w:val="24"/>
        </w:rPr>
        <w:t xml:space="preserve">Kč. </w:t>
      </w:r>
      <w:r w:rsidRPr="00F7697C">
        <w:rPr>
          <w:rFonts w:ascii="Arial" w:hAnsi="Arial" w:cs="Arial"/>
          <w:color w:val="000000"/>
          <w:sz w:val="24"/>
          <w:szCs w:val="24"/>
        </w:rPr>
        <w:t xml:space="preserve">Skutečná výše </w:t>
      </w:r>
      <w:r>
        <w:rPr>
          <w:rFonts w:ascii="Arial" w:hAnsi="Arial" w:cs="Arial"/>
          <w:color w:val="000000"/>
          <w:sz w:val="24"/>
          <w:szCs w:val="24"/>
        </w:rPr>
        <w:t>podpory de minimis</w:t>
      </w:r>
      <w:r w:rsidRPr="00F7697C">
        <w:rPr>
          <w:rFonts w:ascii="Arial" w:hAnsi="Arial" w:cs="Arial"/>
          <w:color w:val="000000"/>
          <w:sz w:val="24"/>
          <w:szCs w:val="24"/>
        </w:rPr>
        <w:t xml:space="preserve"> bude poskytovatelem vypočtena na základě předloženého finančního vypořádání za dobu poskytnuté návratné finanční výpomoci.</w:t>
      </w:r>
      <w:r>
        <w:rPr>
          <w:rFonts w:ascii="Arial" w:hAnsi="Arial" w:cs="Arial"/>
          <w:color w:val="000000"/>
          <w:sz w:val="24"/>
          <w:szCs w:val="24"/>
        </w:rPr>
        <w:t xml:space="preserve"> Na případnou úpravu konečné výše podpory de minimis v Centrálním registru podpor malého rozsahu dle předchozí věty bude příjemce </w:t>
      </w:r>
      <w:r w:rsidRPr="004D7BDA">
        <w:rPr>
          <w:rFonts w:ascii="Arial" w:hAnsi="Arial" w:cs="Arial"/>
          <w:color w:val="0000FF"/>
          <w:sz w:val="24"/>
          <w:szCs w:val="24"/>
        </w:rPr>
        <w:t xml:space="preserve">bez zbytečného odkladu písemně </w:t>
      </w:r>
      <w:r>
        <w:rPr>
          <w:rFonts w:ascii="Arial" w:hAnsi="Arial" w:cs="Arial"/>
          <w:color w:val="000000"/>
          <w:sz w:val="24"/>
          <w:szCs w:val="24"/>
        </w:rPr>
        <w:t>upozorněn.</w:t>
      </w:r>
      <w:r w:rsidRPr="00F7697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77402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Na místo teček bude doplněna částka rovnající se skutečné výši úroků za celou dobu NFV. Konečná výše podpory de minimis bude vypočtena dle skutečné doby, na kterou bude NFV poskytnuta s tím, že v případě prodlužování smlouvy o NFV se vždy použije výše základní sazby zvýšená o 100 základních bodů ke dni účinnosti smlouvy, respektive ke dni účinnosti prodloužení smlouvy.</w:t>
      </w:r>
    </w:p>
    <w:p w14:paraId="7946EE48" w14:textId="2B325E30" w:rsidR="00E700B8" w:rsidRPr="00E700B8" w:rsidRDefault="00CA4FBF" w:rsidP="0040174E">
      <w:pPr>
        <w:numPr>
          <w:ilvl w:val="0"/>
          <w:numId w:val="1"/>
        </w:numPr>
        <w:tabs>
          <w:tab w:val="clear" w:pos="567"/>
        </w:tabs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700B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>Ve smlouvách, kde NFV bude poskytována v režimu de minimis</w:t>
      </w:r>
      <w:r w:rsidR="00854962" w:rsidRPr="00E700B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r w:rsidRPr="00E700B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se uvede:</w:t>
      </w:r>
      <w:r w:rsidR="009F070C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700B8" w:rsidRPr="009F070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="00E700B8" w:rsidRPr="009F070C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="00E700B8" w:rsidRPr="009F070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466A4B47" w14:textId="31303126" w:rsidR="003A2C75" w:rsidRPr="009F070C" w:rsidRDefault="003A2C75" w:rsidP="000C4675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9F07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="000C6337" w:rsidRPr="009F07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v příjemcem užívaném účetním období,</w:t>
      </w:r>
      <w:r w:rsidRPr="009F07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ve </w:t>
      </w:r>
      <w:r w:rsidR="000705EF" w:rsidRPr="009F07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kterém tato</w:t>
      </w:r>
      <w:r w:rsidRPr="009F07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smlouva</w:t>
      </w:r>
      <w:r w:rsidR="000C6337" w:rsidRPr="009F07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nabyde účinnosti</w:t>
      </w:r>
      <w:r w:rsidRPr="009F07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, a dvou bezprostředně předcházejících účetních </w:t>
      </w:r>
      <w:r w:rsidR="000C6337" w:rsidRPr="009F07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obdobích</w:t>
      </w:r>
      <w:r w:rsidRPr="009F07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76D6B00B" w14:textId="18F51F8F" w:rsidR="003A2C75" w:rsidRPr="009F070C" w:rsidRDefault="00854962" w:rsidP="000C4675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Ve smlouvách, kde NFV bude poskytována v režimu de minimis. se uvede: </w:t>
      </w:r>
      <w:r w:rsidR="003B103C" w:rsidRPr="009F070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="003B103C" w:rsidRPr="009F070C">
        <w:rPr>
          <w:rFonts w:ascii="Arial" w:hAnsi="Arial" w:cs="Arial"/>
          <w:color w:val="FF0000"/>
          <w:sz w:val="24"/>
          <w:szCs w:val="24"/>
          <w:lang w:eastAsia="cs-CZ"/>
        </w:rPr>
        <w:t xml:space="preserve">definovaná v čl. 2 Nařízení Komise (EU) 2023/2831 ze dne 13. prosince 2023 o použití článků 107 a 108 Smlouvy o fungování Evropské unie na podporu de minimis, </w:t>
      </w:r>
      <w:r w:rsidR="003B103C" w:rsidRPr="009F070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  <w:r w:rsidR="009F070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3A2C75" w:rsidRPr="009F07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="003A2C75" w:rsidRPr="009F070C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="003A2C75" w:rsidRPr="009F07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BCD66A8" w14:textId="28E1EDD5" w:rsidR="000C4675" w:rsidRPr="000C4675" w:rsidRDefault="00854962" w:rsidP="00C50B1B">
      <w:pPr>
        <w:numPr>
          <w:ilvl w:val="0"/>
          <w:numId w:val="1"/>
        </w:numPr>
        <w:tabs>
          <w:tab w:val="clear" w:pos="567"/>
        </w:tabs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675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Ve smlouvách, kde NFV bude poskytována v režimu de minimis. se uvede:</w:t>
      </w:r>
      <w:r w:rsidR="00235093" w:rsidRPr="000C4675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0C4675" w:rsidRPr="009F070C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="000C4675" w:rsidRPr="009F070C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="000C4675" w:rsidRPr="009F070C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</w:p>
    <w:p w14:paraId="252C7A41" w14:textId="61E7F147" w:rsidR="003A2C75" w:rsidRPr="009F070C" w:rsidRDefault="00235093" w:rsidP="000C4675">
      <w:pPr>
        <w:spacing w:after="120" w:line="240" w:lineRule="auto"/>
        <w:jc w:val="both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9F070C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365AC497" w14:textId="0D550E1C" w:rsidR="003A2C75" w:rsidRPr="00471537" w:rsidRDefault="003A2C75" w:rsidP="000C4675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740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Ve smlouvách, které mají být uveřejněny v registru smluv, se uvede:</w:t>
      </w:r>
      <w:r w:rsidRPr="00D77402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Smluvní strany jsou srozuměny s tím, že tato smlouva bude uveřejněna v registru smluv dle zákona č. 340/2015 Sb., o zvláštních podmínkách účinnosti některých smluv, uveřejňování těchto smluv a o registru smluv (zákon o registru smluv), ve znění </w:t>
      </w:r>
      <w:r w:rsidRPr="00471537">
        <w:rPr>
          <w:rFonts w:ascii="Arial" w:hAnsi="Arial" w:cs="Arial"/>
          <w:sz w:val="24"/>
          <w:szCs w:val="24"/>
          <w:lang w:eastAsia="cs-CZ"/>
        </w:rPr>
        <w:lastRenderedPageBreak/>
        <w:t>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D7740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Ve smlouvách, které se povinně </w:t>
      </w:r>
      <w:r w:rsidR="000E635C" w:rsidRPr="00D7740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z</w:t>
      </w:r>
      <w:r w:rsidRPr="00D7740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veřejňují na úřední desce (</w:t>
      </w:r>
      <w:r w:rsidR="00D71520" w:rsidRPr="00D7740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NFV</w:t>
      </w:r>
      <w:r w:rsidRPr="00D7740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nad 50 000 Kč), se dále uvede: </w:t>
      </w: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3349871" w14:textId="479B44B5" w:rsidR="003A2C75" w:rsidRPr="00471537" w:rsidRDefault="003A2C75" w:rsidP="000C4675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D7740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Ve smlouvách ze zákona povinně uveřejňovaných v registru smluv je třeba toto ustanovení formulovat takto:</w:t>
      </w:r>
      <w:r w:rsidRPr="00D77402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Tato smlouva nabývá </w:t>
      </w:r>
      <w:r w:rsidR="0084053F" w:rsidRPr="009F070C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 w:rsidRPr="00471537">
        <w:rPr>
          <w:rFonts w:ascii="Arial" w:hAnsi="Arial" w:cs="Arial"/>
          <w:sz w:val="24"/>
          <w:szCs w:val="24"/>
          <w:lang w:eastAsia="cs-CZ"/>
        </w:rPr>
        <w:t>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48FF40BB" w:rsidR="003A2C75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</w:t>
      </w:r>
      <w:r w:rsidRPr="007C3FA3">
        <w:rPr>
          <w:rFonts w:ascii="Arial" w:hAnsi="Arial" w:cs="Arial"/>
          <w:color w:val="0000FF"/>
          <w:sz w:val="24"/>
          <w:szCs w:val="24"/>
          <w:lang w:eastAsia="cs-CZ"/>
        </w:rPr>
        <w:t xml:space="preserve">Rady/Zastupitelstva </w:t>
      </w:r>
      <w:r w:rsidRPr="00471537">
        <w:rPr>
          <w:rFonts w:ascii="Arial" w:hAnsi="Arial" w:cs="Arial"/>
          <w:sz w:val="24"/>
          <w:szCs w:val="24"/>
          <w:lang w:eastAsia="cs-CZ"/>
        </w:rPr>
        <w:t>Olomouckého kraje č</w:t>
      </w:r>
      <w:r w:rsidR="00BA585D">
        <w:rPr>
          <w:rFonts w:ascii="Arial" w:hAnsi="Arial" w:cs="Arial"/>
          <w:sz w:val="24"/>
          <w:szCs w:val="24"/>
          <w:lang w:eastAsia="cs-CZ"/>
        </w:rPr>
        <w:t>.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A585D">
        <w:rPr>
          <w:rFonts w:ascii="Arial" w:hAnsi="Arial" w:cs="Arial"/>
          <w:sz w:val="24"/>
          <w:szCs w:val="24"/>
          <w:lang w:eastAsia="cs-CZ"/>
        </w:rPr>
        <w:t>………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ze dne </w:t>
      </w:r>
      <w:r w:rsidR="00BA585D">
        <w:rPr>
          <w:rFonts w:ascii="Arial" w:hAnsi="Arial" w:cs="Arial"/>
          <w:sz w:val="24"/>
          <w:szCs w:val="24"/>
          <w:lang w:eastAsia="cs-CZ"/>
        </w:rPr>
        <w:t>………………</w:t>
      </w:r>
    </w:p>
    <w:p w14:paraId="05C7A875" w14:textId="5C30DD48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Tato smlouva je sepsána ve </w:t>
      </w:r>
      <w:r w:rsidR="00BA585D">
        <w:rPr>
          <w:rFonts w:ascii="Arial" w:hAnsi="Arial" w:cs="Arial"/>
          <w:sz w:val="24"/>
          <w:szCs w:val="24"/>
          <w:lang w:eastAsia="cs-CZ"/>
        </w:rPr>
        <w:t>…</w:t>
      </w:r>
      <w:r w:rsidR="00271A95">
        <w:rPr>
          <w:rFonts w:ascii="Arial" w:hAnsi="Arial" w:cs="Arial"/>
          <w:sz w:val="24"/>
          <w:szCs w:val="24"/>
          <w:lang w:eastAsia="cs-CZ"/>
        </w:rPr>
        <w:t>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vyhotoveních, z nichž každá smluvní stra</w:t>
      </w:r>
      <w:r w:rsidR="00271A95">
        <w:rPr>
          <w:rFonts w:ascii="Arial" w:hAnsi="Arial" w:cs="Arial"/>
          <w:sz w:val="24"/>
          <w:szCs w:val="24"/>
          <w:lang w:eastAsia="cs-CZ"/>
        </w:rPr>
        <w:t>na obdrží ……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vyhotovení.</w:t>
      </w:r>
      <w:r w:rsidR="00295D2C" w:rsidRPr="00295D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95D2C" w:rsidRPr="00E5769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bookmarkStart w:id="0" w:name="_Hlk149126689"/>
      <w:r w:rsidR="006D496B" w:rsidRPr="00E5769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bookmarkEnd w:id="0"/>
      <w:r w:rsidR="00295D2C" w:rsidRPr="00E5769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Zásad). V tomto případě bude ze smlouvy vypuštěna i následující podpisová část, místo které bude uveden text </w:t>
      </w:r>
      <w:r w:rsidR="00295D2C" w:rsidRPr="00AA17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elektronicky </w:t>
      </w:r>
      <w:r w:rsidR="00D077A1" w:rsidRPr="00D077A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podepsána</w:t>
      </w:r>
      <w:r w:rsidR="00295D2C" w:rsidRPr="00D077A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oprávněnými zástupci smluvních stran s doručením návrhu smlouvy a jeho</w:t>
      </w:r>
      <w:r w:rsidR="00295D2C" w:rsidRPr="00AA17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akceptace</w:t>
      </w:r>
      <w:r w:rsidR="00DB2B8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bookmarkStart w:id="1" w:name="_Hlk149126721"/>
      <w:r w:rsidR="00DB2B8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bookmarkEnd w:id="1"/>
      <w:r w:rsidR="00295D2C" w:rsidRPr="00AA17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.“</w:t>
      </w:r>
    </w:p>
    <w:p w14:paraId="579633CB" w14:textId="65F03A5C" w:rsidR="003A2C75" w:rsidRPr="00471537" w:rsidRDefault="003A2C75" w:rsidP="00341EE4">
      <w:pPr>
        <w:tabs>
          <w:tab w:val="left" w:pos="4536"/>
        </w:tabs>
        <w:spacing w:before="60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 w:rsidR="00271A95">
        <w:rPr>
          <w:rFonts w:ascii="Arial" w:eastAsia="Times New Roman" w:hAnsi="Arial" w:cs="Arial"/>
          <w:sz w:val="24"/>
          <w:szCs w:val="24"/>
          <w:lang w:eastAsia="cs-CZ"/>
        </w:rPr>
        <w:t>…………………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V </w:t>
      </w:r>
      <w:r w:rsidR="00FD1B59">
        <w:rPr>
          <w:rFonts w:ascii="Arial" w:eastAsia="Times New Roman" w:hAnsi="Arial" w:cs="Arial"/>
          <w:sz w:val="24"/>
          <w:szCs w:val="24"/>
          <w:lang w:eastAsia="cs-CZ"/>
        </w:rPr>
        <w:t>…………………… dne ………………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5"/>
      </w:tblGrid>
      <w:tr w:rsidR="003A2C75" w:rsidRPr="00471537" w14:paraId="048613EB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DE1CA" w14:textId="77777777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EDBE391" w14:textId="77777777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B5FBB4" w14:textId="3893DCE7" w:rsidR="003A2C75" w:rsidRPr="00471537" w:rsidRDefault="0057497D" w:rsidP="005749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3A2C75"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3A2C75" w:rsidRPr="00471537" w14:paraId="3B0FDEEA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6C4A9" w14:textId="77777777" w:rsidR="003A2C75" w:rsidRPr="00471537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1CAB87F" w14:textId="4A61D278" w:rsidR="003A2C75" w:rsidRPr="00471537" w:rsidRDefault="003A2C75" w:rsidP="00CE0155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4B927" w14:textId="77777777" w:rsidR="003A2C75" w:rsidRPr="00471537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51A6BB40" w14:textId="77777777" w:rsidR="00D65930" w:rsidRPr="00471537" w:rsidRDefault="00D65930" w:rsidP="00CE0155">
      <w:pPr>
        <w:pStyle w:val="Default"/>
        <w:spacing w:after="120"/>
        <w:jc w:val="both"/>
      </w:pPr>
    </w:p>
    <w:sectPr w:rsidR="00D65930" w:rsidRPr="00471537" w:rsidSect="000A0F39">
      <w:footerReference w:type="default" r:id="rId9"/>
      <w:pgSz w:w="11906" w:h="16838"/>
      <w:pgMar w:top="1417" w:right="1417" w:bottom="1417" w:left="1418" w:header="708" w:footer="708" w:gutter="0"/>
      <w:pgNumType w:start="1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0741" w14:textId="77777777" w:rsidR="00142729" w:rsidRDefault="00142729" w:rsidP="00A74BCC">
      <w:pPr>
        <w:spacing w:after="0" w:line="240" w:lineRule="auto"/>
      </w:pPr>
      <w:r>
        <w:separator/>
      </w:r>
    </w:p>
  </w:endnote>
  <w:endnote w:type="continuationSeparator" w:id="0">
    <w:p w14:paraId="6C030E37" w14:textId="77777777" w:rsidR="00142729" w:rsidRDefault="00142729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DED8" w14:textId="628FEC76" w:rsidR="004F195A" w:rsidRDefault="004F195A" w:rsidP="004F195A"/>
  <w:sdt>
    <w:sdtPr>
      <w:id w:val="2118169733"/>
      <w:docPartObj>
        <w:docPartGallery w:val="Page Numbers (Bottom of Page)"/>
        <w:docPartUnique/>
      </w:docPartObj>
    </w:sdtPr>
    <w:sdtEndPr/>
    <w:sdtContent>
      <w:p w14:paraId="535CE44D" w14:textId="79C59709" w:rsidR="004F195A" w:rsidRDefault="009E150C" w:rsidP="004F195A">
        <w:pPr>
          <w:pStyle w:val="Zpat"/>
          <w:tabs>
            <w:tab w:val="left" w:pos="4962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16. 12. 2024</w:t>
        </w:r>
        <w:r w:rsidR="004F195A" w:rsidRPr="003D5F9A">
          <w:rPr>
            <w:rFonts w:ascii="Arial" w:hAnsi="Arial" w:cs="Arial"/>
            <w:i/>
            <w:sz w:val="20"/>
            <w:szCs w:val="20"/>
          </w:rPr>
          <w:tab/>
        </w:r>
        <w:r w:rsidR="004F195A">
          <w:rPr>
            <w:rFonts w:ascii="Arial" w:hAnsi="Arial" w:cs="Arial"/>
            <w:i/>
            <w:sz w:val="20"/>
            <w:szCs w:val="20"/>
          </w:rPr>
          <w:t xml:space="preserve">               </w:t>
        </w:r>
        <w:r w:rsidR="00685672">
          <w:rPr>
            <w:rFonts w:ascii="Arial" w:hAnsi="Arial" w:cs="Arial"/>
            <w:i/>
            <w:sz w:val="20"/>
            <w:szCs w:val="20"/>
          </w:rPr>
          <w:t xml:space="preserve">                         </w:t>
        </w:r>
        <w:r w:rsidR="00685672">
          <w:rPr>
            <w:rFonts w:ascii="Arial" w:hAnsi="Arial" w:cs="Arial"/>
            <w:i/>
            <w:sz w:val="20"/>
            <w:szCs w:val="20"/>
          </w:rPr>
          <w:tab/>
        </w:r>
        <w:r w:rsidR="004F195A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begin"/>
        </w:r>
        <w:r w:rsidR="004F195A" w:rsidRPr="005F35C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C3947">
          <w:rPr>
            <w:rFonts w:ascii="Arial" w:hAnsi="Arial" w:cs="Arial"/>
            <w:i/>
            <w:noProof/>
            <w:sz w:val="20"/>
            <w:szCs w:val="20"/>
          </w:rPr>
          <w:t>162</w: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end"/>
        </w:r>
        <w:r w:rsidR="00495592">
          <w:rPr>
            <w:rFonts w:ascii="Arial" w:hAnsi="Arial" w:cs="Arial"/>
            <w:i/>
            <w:sz w:val="20"/>
            <w:szCs w:val="20"/>
          </w:rPr>
          <w:t xml:space="preserve"> (celkem 17</w:t>
        </w:r>
        <w:r w:rsidR="00676FCE">
          <w:rPr>
            <w:rFonts w:ascii="Arial" w:hAnsi="Arial" w:cs="Arial"/>
            <w:i/>
            <w:sz w:val="20"/>
            <w:szCs w:val="20"/>
          </w:rPr>
          <w:t>7</w:t>
        </w:r>
        <w:r w:rsidR="004863E1">
          <w:rPr>
            <w:rFonts w:ascii="Arial" w:hAnsi="Arial" w:cs="Arial"/>
            <w:i/>
            <w:sz w:val="20"/>
            <w:szCs w:val="20"/>
          </w:rPr>
          <w:t>)</w:t>
        </w:r>
      </w:p>
      <w:p w14:paraId="3585344F" w14:textId="0A621AF9" w:rsidR="006C7057" w:rsidRDefault="000F2397" w:rsidP="00685672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10.2</w:t>
        </w:r>
        <w:r w:rsidR="00BC3947">
          <w:rPr>
            <w:rFonts w:ascii="Arial" w:hAnsi="Arial" w:cs="Arial"/>
            <w:i/>
            <w:sz w:val="20"/>
            <w:szCs w:val="20"/>
          </w:rPr>
          <w:t>.</w:t>
        </w:r>
        <w:r w:rsidR="007C3FA3">
          <w:rPr>
            <w:rFonts w:ascii="Arial" w:hAnsi="Arial" w:cs="Arial"/>
            <w:i/>
            <w:sz w:val="20"/>
            <w:szCs w:val="20"/>
          </w:rPr>
          <w:t xml:space="preserve"> – Aktualizace postupu projednávání individuálních dotací a návratných finančních výpomocí z rozpočtu Olomouckého kraje pro rok 202</w:t>
        </w:r>
        <w:r w:rsidR="009F070C">
          <w:rPr>
            <w:rFonts w:ascii="Arial" w:hAnsi="Arial" w:cs="Arial"/>
            <w:i/>
            <w:sz w:val="20"/>
            <w:szCs w:val="20"/>
          </w:rPr>
          <w:t>5</w:t>
        </w:r>
      </w:p>
      <w:p w14:paraId="574241FB" w14:textId="75C1D8A3" w:rsidR="00102390" w:rsidRPr="00A0383F" w:rsidRDefault="00EB1B81" w:rsidP="00685672">
        <w:pPr>
          <w:pStyle w:val="Zpat"/>
        </w:pPr>
        <w:r>
          <w:rPr>
            <w:rFonts w:ascii="Arial" w:hAnsi="Arial" w:cs="Arial"/>
            <w:i/>
            <w:sz w:val="20"/>
            <w:szCs w:val="20"/>
          </w:rPr>
          <w:t>Příloha č. 13</w:t>
        </w:r>
        <w:r w:rsidR="004F195A">
          <w:rPr>
            <w:rFonts w:ascii="Arial" w:hAnsi="Arial" w:cs="Arial"/>
            <w:i/>
            <w:sz w:val="20"/>
            <w:szCs w:val="20"/>
          </w:rPr>
          <w:t xml:space="preserve">: Vzorová veřejnoprávní smlouva o poskytnutí návratné finanční výpomoci </w:t>
        </w:r>
        <w:r w:rsidR="00DF652C">
          <w:rPr>
            <w:rFonts w:ascii="Arial" w:hAnsi="Arial" w:cs="Arial"/>
            <w:i/>
            <w:sz w:val="20"/>
            <w:szCs w:val="20"/>
          </w:rPr>
          <w:t>fyzické osobě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1542" w14:textId="77777777" w:rsidR="00142729" w:rsidRDefault="00142729" w:rsidP="00A74BCC">
      <w:pPr>
        <w:spacing w:after="0" w:line="240" w:lineRule="auto"/>
      </w:pPr>
      <w:r>
        <w:separator/>
      </w:r>
    </w:p>
  </w:footnote>
  <w:footnote w:type="continuationSeparator" w:id="0">
    <w:p w14:paraId="0EF2BA6F" w14:textId="77777777" w:rsidR="00142729" w:rsidRDefault="00142729" w:rsidP="00A74BCC">
      <w:pPr>
        <w:spacing w:after="0" w:line="240" w:lineRule="auto"/>
      </w:pPr>
      <w:r>
        <w:continuationSeparator/>
      </w:r>
    </w:p>
  </w:footnote>
  <w:footnote w:id="1">
    <w:p w14:paraId="2D3593D0" w14:textId="10F2058F" w:rsidR="00102390" w:rsidRDefault="00102390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2946646">
    <w:abstractNumId w:val="1"/>
  </w:num>
  <w:num w:numId="2" w16cid:durableId="1318000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504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1425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8065745">
    <w:abstractNumId w:val="16"/>
  </w:num>
  <w:num w:numId="6" w16cid:durableId="353582853">
    <w:abstractNumId w:val="15"/>
  </w:num>
  <w:num w:numId="7" w16cid:durableId="1571191977">
    <w:abstractNumId w:val="9"/>
  </w:num>
  <w:num w:numId="8" w16cid:durableId="1286275265">
    <w:abstractNumId w:val="2"/>
  </w:num>
  <w:num w:numId="9" w16cid:durableId="1191838940">
    <w:abstractNumId w:val="13"/>
  </w:num>
  <w:num w:numId="10" w16cid:durableId="1639649956">
    <w:abstractNumId w:val="8"/>
  </w:num>
  <w:num w:numId="11" w16cid:durableId="1170364208">
    <w:abstractNumId w:val="10"/>
  </w:num>
  <w:num w:numId="12" w16cid:durableId="1957447422">
    <w:abstractNumId w:val="6"/>
  </w:num>
  <w:num w:numId="13" w16cid:durableId="1642613621">
    <w:abstractNumId w:val="14"/>
  </w:num>
  <w:num w:numId="14" w16cid:durableId="36008843">
    <w:abstractNumId w:val="5"/>
  </w:num>
  <w:num w:numId="15" w16cid:durableId="1943107207">
    <w:abstractNumId w:val="4"/>
  </w:num>
  <w:num w:numId="16" w16cid:durableId="1571232014">
    <w:abstractNumId w:val="11"/>
  </w:num>
  <w:num w:numId="17" w16cid:durableId="1289967139">
    <w:abstractNumId w:val="3"/>
  </w:num>
  <w:num w:numId="18" w16cid:durableId="363142674">
    <w:abstractNumId w:val="12"/>
  </w:num>
  <w:num w:numId="19" w16cid:durableId="1820658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73"/>
    <w:rsid w:val="00001E06"/>
    <w:rsid w:val="0000211E"/>
    <w:rsid w:val="0002600B"/>
    <w:rsid w:val="000457E6"/>
    <w:rsid w:val="000528BF"/>
    <w:rsid w:val="0005605D"/>
    <w:rsid w:val="00057D73"/>
    <w:rsid w:val="000705EF"/>
    <w:rsid w:val="00073696"/>
    <w:rsid w:val="00084D1E"/>
    <w:rsid w:val="00087456"/>
    <w:rsid w:val="00090A4E"/>
    <w:rsid w:val="000A0F39"/>
    <w:rsid w:val="000A229B"/>
    <w:rsid w:val="000A6093"/>
    <w:rsid w:val="000B3C3F"/>
    <w:rsid w:val="000C38CE"/>
    <w:rsid w:val="000C4675"/>
    <w:rsid w:val="000C6337"/>
    <w:rsid w:val="000D064E"/>
    <w:rsid w:val="000E635C"/>
    <w:rsid w:val="000F2397"/>
    <w:rsid w:val="000F2606"/>
    <w:rsid w:val="00102390"/>
    <w:rsid w:val="00104F72"/>
    <w:rsid w:val="00105761"/>
    <w:rsid w:val="00114B9C"/>
    <w:rsid w:val="00115A0E"/>
    <w:rsid w:val="001202D6"/>
    <w:rsid w:val="001318EF"/>
    <w:rsid w:val="00142729"/>
    <w:rsid w:val="00146D88"/>
    <w:rsid w:val="0016219B"/>
    <w:rsid w:val="00162B08"/>
    <w:rsid w:val="00164D0A"/>
    <w:rsid w:val="00175257"/>
    <w:rsid w:val="00186E57"/>
    <w:rsid w:val="0019455D"/>
    <w:rsid w:val="001A5BE8"/>
    <w:rsid w:val="001B2B12"/>
    <w:rsid w:val="001C6944"/>
    <w:rsid w:val="001E4486"/>
    <w:rsid w:val="001E4936"/>
    <w:rsid w:val="001E60C3"/>
    <w:rsid w:val="001E6255"/>
    <w:rsid w:val="001F021D"/>
    <w:rsid w:val="00204CB1"/>
    <w:rsid w:val="00231351"/>
    <w:rsid w:val="00234A6D"/>
    <w:rsid w:val="00235093"/>
    <w:rsid w:val="002410ED"/>
    <w:rsid w:val="00244DC9"/>
    <w:rsid w:val="00252885"/>
    <w:rsid w:val="00253533"/>
    <w:rsid w:val="00263573"/>
    <w:rsid w:val="00271A95"/>
    <w:rsid w:val="00274666"/>
    <w:rsid w:val="00283541"/>
    <w:rsid w:val="00291CA7"/>
    <w:rsid w:val="00295D2C"/>
    <w:rsid w:val="002B1F6E"/>
    <w:rsid w:val="002E37DE"/>
    <w:rsid w:val="002F6847"/>
    <w:rsid w:val="002F7139"/>
    <w:rsid w:val="00316A9C"/>
    <w:rsid w:val="003347AA"/>
    <w:rsid w:val="00341EE4"/>
    <w:rsid w:val="00342B6A"/>
    <w:rsid w:val="0034660E"/>
    <w:rsid w:val="003549DC"/>
    <w:rsid w:val="00355735"/>
    <w:rsid w:val="00361556"/>
    <w:rsid w:val="00375B7E"/>
    <w:rsid w:val="0038339B"/>
    <w:rsid w:val="00383604"/>
    <w:rsid w:val="0038665F"/>
    <w:rsid w:val="00394271"/>
    <w:rsid w:val="003A2BC4"/>
    <w:rsid w:val="003A2C75"/>
    <w:rsid w:val="003A77AD"/>
    <w:rsid w:val="003B103C"/>
    <w:rsid w:val="003B6AEF"/>
    <w:rsid w:val="003B7F27"/>
    <w:rsid w:val="003C2C7C"/>
    <w:rsid w:val="003C5B28"/>
    <w:rsid w:val="003D0872"/>
    <w:rsid w:val="003D0E4A"/>
    <w:rsid w:val="003D508C"/>
    <w:rsid w:val="003E5BCD"/>
    <w:rsid w:val="0040174E"/>
    <w:rsid w:val="00404539"/>
    <w:rsid w:val="00407A79"/>
    <w:rsid w:val="00413DB7"/>
    <w:rsid w:val="004141E4"/>
    <w:rsid w:val="00414B93"/>
    <w:rsid w:val="00421951"/>
    <w:rsid w:val="00433AD5"/>
    <w:rsid w:val="00435A4E"/>
    <w:rsid w:val="00435D42"/>
    <w:rsid w:val="00436A8A"/>
    <w:rsid w:val="004444AC"/>
    <w:rsid w:val="004446F1"/>
    <w:rsid w:val="00456905"/>
    <w:rsid w:val="00460B1C"/>
    <w:rsid w:val="0046172C"/>
    <w:rsid w:val="0046288A"/>
    <w:rsid w:val="004674A8"/>
    <w:rsid w:val="00471537"/>
    <w:rsid w:val="004716F1"/>
    <w:rsid w:val="00474098"/>
    <w:rsid w:val="00476124"/>
    <w:rsid w:val="00476E16"/>
    <w:rsid w:val="00482257"/>
    <w:rsid w:val="00484C1D"/>
    <w:rsid w:val="004857EF"/>
    <w:rsid w:val="004863E1"/>
    <w:rsid w:val="004877A8"/>
    <w:rsid w:val="0049250C"/>
    <w:rsid w:val="00495592"/>
    <w:rsid w:val="0049680D"/>
    <w:rsid w:val="004A483B"/>
    <w:rsid w:val="004A556F"/>
    <w:rsid w:val="004A647D"/>
    <w:rsid w:val="004A6ADE"/>
    <w:rsid w:val="004B7287"/>
    <w:rsid w:val="004B7C3F"/>
    <w:rsid w:val="004C0934"/>
    <w:rsid w:val="004C781D"/>
    <w:rsid w:val="004D1EAC"/>
    <w:rsid w:val="004D2A4C"/>
    <w:rsid w:val="004F195A"/>
    <w:rsid w:val="004F6401"/>
    <w:rsid w:val="00510D6E"/>
    <w:rsid w:val="00514E5C"/>
    <w:rsid w:val="00514EBB"/>
    <w:rsid w:val="00530CD7"/>
    <w:rsid w:val="00531077"/>
    <w:rsid w:val="00532EDD"/>
    <w:rsid w:val="00534C25"/>
    <w:rsid w:val="005632CE"/>
    <w:rsid w:val="005666E9"/>
    <w:rsid w:val="00570465"/>
    <w:rsid w:val="0057497D"/>
    <w:rsid w:val="00583732"/>
    <w:rsid w:val="00592AA0"/>
    <w:rsid w:val="005A324B"/>
    <w:rsid w:val="005A50E3"/>
    <w:rsid w:val="005A6FFE"/>
    <w:rsid w:val="005A7E15"/>
    <w:rsid w:val="005C417C"/>
    <w:rsid w:val="005C4F3E"/>
    <w:rsid w:val="005C78DF"/>
    <w:rsid w:val="005D4411"/>
    <w:rsid w:val="005E16EE"/>
    <w:rsid w:val="005E5140"/>
    <w:rsid w:val="00605AAC"/>
    <w:rsid w:val="006110B4"/>
    <w:rsid w:val="0061543B"/>
    <w:rsid w:val="00617744"/>
    <w:rsid w:val="00626050"/>
    <w:rsid w:val="00626096"/>
    <w:rsid w:val="0063254D"/>
    <w:rsid w:val="00634590"/>
    <w:rsid w:val="00646665"/>
    <w:rsid w:val="00662EBF"/>
    <w:rsid w:val="00664AAE"/>
    <w:rsid w:val="00672F9F"/>
    <w:rsid w:val="00676FCE"/>
    <w:rsid w:val="00682389"/>
    <w:rsid w:val="00685672"/>
    <w:rsid w:val="006A434F"/>
    <w:rsid w:val="006B0049"/>
    <w:rsid w:val="006B5F25"/>
    <w:rsid w:val="006B7DD8"/>
    <w:rsid w:val="006C2214"/>
    <w:rsid w:val="006C480E"/>
    <w:rsid w:val="006C48E9"/>
    <w:rsid w:val="006C68BC"/>
    <w:rsid w:val="006C7057"/>
    <w:rsid w:val="006D496B"/>
    <w:rsid w:val="006D4DD4"/>
    <w:rsid w:val="006F1440"/>
    <w:rsid w:val="006F70D6"/>
    <w:rsid w:val="00700288"/>
    <w:rsid w:val="00703989"/>
    <w:rsid w:val="00721370"/>
    <w:rsid w:val="007307C5"/>
    <w:rsid w:val="00746352"/>
    <w:rsid w:val="00771239"/>
    <w:rsid w:val="00772BE0"/>
    <w:rsid w:val="00781AC8"/>
    <w:rsid w:val="0079255B"/>
    <w:rsid w:val="007A10E0"/>
    <w:rsid w:val="007C3FA3"/>
    <w:rsid w:val="007C41D9"/>
    <w:rsid w:val="007C6BC7"/>
    <w:rsid w:val="007E16CE"/>
    <w:rsid w:val="007E4A1E"/>
    <w:rsid w:val="007E4C25"/>
    <w:rsid w:val="007E70D2"/>
    <w:rsid w:val="007F7F5A"/>
    <w:rsid w:val="00801965"/>
    <w:rsid w:val="008027AA"/>
    <w:rsid w:val="0081411D"/>
    <w:rsid w:val="00815A0D"/>
    <w:rsid w:val="00820C24"/>
    <w:rsid w:val="00830071"/>
    <w:rsid w:val="0084053F"/>
    <w:rsid w:val="0084621A"/>
    <w:rsid w:val="00853675"/>
    <w:rsid w:val="00854962"/>
    <w:rsid w:val="008567EA"/>
    <w:rsid w:val="00856E42"/>
    <w:rsid w:val="00861018"/>
    <w:rsid w:val="0086303C"/>
    <w:rsid w:val="0086526A"/>
    <w:rsid w:val="00871F1E"/>
    <w:rsid w:val="00875169"/>
    <w:rsid w:val="00881B15"/>
    <w:rsid w:val="00887340"/>
    <w:rsid w:val="008928FE"/>
    <w:rsid w:val="008B3DA5"/>
    <w:rsid w:val="008B6226"/>
    <w:rsid w:val="008C139D"/>
    <w:rsid w:val="008D1D11"/>
    <w:rsid w:val="008D5BD8"/>
    <w:rsid w:val="008D6DF8"/>
    <w:rsid w:val="008E6496"/>
    <w:rsid w:val="009022B3"/>
    <w:rsid w:val="00911CF2"/>
    <w:rsid w:val="00912F18"/>
    <w:rsid w:val="00915B3E"/>
    <w:rsid w:val="00922881"/>
    <w:rsid w:val="00925EFC"/>
    <w:rsid w:val="009376B3"/>
    <w:rsid w:val="009449D6"/>
    <w:rsid w:val="00952F34"/>
    <w:rsid w:val="009609C2"/>
    <w:rsid w:val="0097600E"/>
    <w:rsid w:val="009774DB"/>
    <w:rsid w:val="00992244"/>
    <w:rsid w:val="009A33AF"/>
    <w:rsid w:val="009B3917"/>
    <w:rsid w:val="009B3926"/>
    <w:rsid w:val="009C05C0"/>
    <w:rsid w:val="009D1131"/>
    <w:rsid w:val="009D5E3B"/>
    <w:rsid w:val="009E0268"/>
    <w:rsid w:val="009E150C"/>
    <w:rsid w:val="009E26D0"/>
    <w:rsid w:val="009E3605"/>
    <w:rsid w:val="009E3735"/>
    <w:rsid w:val="009F070C"/>
    <w:rsid w:val="009F1F59"/>
    <w:rsid w:val="00A0383F"/>
    <w:rsid w:val="00A12A57"/>
    <w:rsid w:val="00A1577A"/>
    <w:rsid w:val="00A31A1D"/>
    <w:rsid w:val="00A43020"/>
    <w:rsid w:val="00A4547B"/>
    <w:rsid w:val="00A53EC7"/>
    <w:rsid w:val="00A54905"/>
    <w:rsid w:val="00A64648"/>
    <w:rsid w:val="00A74BCC"/>
    <w:rsid w:val="00A773F3"/>
    <w:rsid w:val="00A80575"/>
    <w:rsid w:val="00AA17F6"/>
    <w:rsid w:val="00AB5356"/>
    <w:rsid w:val="00AE2840"/>
    <w:rsid w:val="00AE56E8"/>
    <w:rsid w:val="00AF18F6"/>
    <w:rsid w:val="00AF31BB"/>
    <w:rsid w:val="00B108C7"/>
    <w:rsid w:val="00B1538A"/>
    <w:rsid w:val="00B75065"/>
    <w:rsid w:val="00BA585D"/>
    <w:rsid w:val="00BA63AE"/>
    <w:rsid w:val="00BB38F1"/>
    <w:rsid w:val="00BC0FF8"/>
    <w:rsid w:val="00BC1084"/>
    <w:rsid w:val="00BC265D"/>
    <w:rsid w:val="00BC3947"/>
    <w:rsid w:val="00BC6DA3"/>
    <w:rsid w:val="00BE63A4"/>
    <w:rsid w:val="00BF21CB"/>
    <w:rsid w:val="00C11B8F"/>
    <w:rsid w:val="00C1611D"/>
    <w:rsid w:val="00C1741E"/>
    <w:rsid w:val="00C353C0"/>
    <w:rsid w:val="00C353C7"/>
    <w:rsid w:val="00C404E6"/>
    <w:rsid w:val="00C41382"/>
    <w:rsid w:val="00C4323B"/>
    <w:rsid w:val="00C4382D"/>
    <w:rsid w:val="00C4476B"/>
    <w:rsid w:val="00C50B1B"/>
    <w:rsid w:val="00C52D03"/>
    <w:rsid w:val="00C648BD"/>
    <w:rsid w:val="00C770C0"/>
    <w:rsid w:val="00C80D00"/>
    <w:rsid w:val="00C85089"/>
    <w:rsid w:val="00C85EE4"/>
    <w:rsid w:val="00C93CCB"/>
    <w:rsid w:val="00CA2586"/>
    <w:rsid w:val="00CA49F6"/>
    <w:rsid w:val="00CA4FBF"/>
    <w:rsid w:val="00CB23A8"/>
    <w:rsid w:val="00CE0155"/>
    <w:rsid w:val="00D0266C"/>
    <w:rsid w:val="00D077A1"/>
    <w:rsid w:val="00D129D5"/>
    <w:rsid w:val="00D21213"/>
    <w:rsid w:val="00D2518D"/>
    <w:rsid w:val="00D36150"/>
    <w:rsid w:val="00D464F4"/>
    <w:rsid w:val="00D4774D"/>
    <w:rsid w:val="00D640D8"/>
    <w:rsid w:val="00D6423B"/>
    <w:rsid w:val="00D65930"/>
    <w:rsid w:val="00D71520"/>
    <w:rsid w:val="00D719A3"/>
    <w:rsid w:val="00D75D35"/>
    <w:rsid w:val="00D76E53"/>
    <w:rsid w:val="00D76EAB"/>
    <w:rsid w:val="00D77402"/>
    <w:rsid w:val="00D819BF"/>
    <w:rsid w:val="00D87EA6"/>
    <w:rsid w:val="00D90FD3"/>
    <w:rsid w:val="00D9633C"/>
    <w:rsid w:val="00D97D57"/>
    <w:rsid w:val="00DA38CF"/>
    <w:rsid w:val="00DA4001"/>
    <w:rsid w:val="00DB2B8F"/>
    <w:rsid w:val="00DC3E32"/>
    <w:rsid w:val="00DC71B5"/>
    <w:rsid w:val="00DC78BD"/>
    <w:rsid w:val="00DC7D4D"/>
    <w:rsid w:val="00DD7474"/>
    <w:rsid w:val="00DE0F0E"/>
    <w:rsid w:val="00DF43CD"/>
    <w:rsid w:val="00DF652C"/>
    <w:rsid w:val="00E31594"/>
    <w:rsid w:val="00E4159F"/>
    <w:rsid w:val="00E44E32"/>
    <w:rsid w:val="00E45864"/>
    <w:rsid w:val="00E511C5"/>
    <w:rsid w:val="00E51343"/>
    <w:rsid w:val="00E57695"/>
    <w:rsid w:val="00E61F43"/>
    <w:rsid w:val="00E700B8"/>
    <w:rsid w:val="00E87F92"/>
    <w:rsid w:val="00E92F8A"/>
    <w:rsid w:val="00E95D08"/>
    <w:rsid w:val="00E96BA9"/>
    <w:rsid w:val="00EA5571"/>
    <w:rsid w:val="00EA7B4B"/>
    <w:rsid w:val="00EB0B89"/>
    <w:rsid w:val="00EB1B81"/>
    <w:rsid w:val="00EB4E2B"/>
    <w:rsid w:val="00ED0C18"/>
    <w:rsid w:val="00EE2AF5"/>
    <w:rsid w:val="00EE501D"/>
    <w:rsid w:val="00EF6B5E"/>
    <w:rsid w:val="00F00C0A"/>
    <w:rsid w:val="00F0751B"/>
    <w:rsid w:val="00F209FF"/>
    <w:rsid w:val="00F22A4E"/>
    <w:rsid w:val="00F37E62"/>
    <w:rsid w:val="00F4057B"/>
    <w:rsid w:val="00F429D0"/>
    <w:rsid w:val="00F43772"/>
    <w:rsid w:val="00F43FA1"/>
    <w:rsid w:val="00F56355"/>
    <w:rsid w:val="00F752A3"/>
    <w:rsid w:val="00F8742B"/>
    <w:rsid w:val="00F94B54"/>
    <w:rsid w:val="00FA2A06"/>
    <w:rsid w:val="00FA7204"/>
    <w:rsid w:val="00FB0ADF"/>
    <w:rsid w:val="00FC22C6"/>
    <w:rsid w:val="00FD0E44"/>
    <w:rsid w:val="00FD1B59"/>
    <w:rsid w:val="00FD6BBC"/>
    <w:rsid w:val="00FE56D3"/>
    <w:rsid w:val="00FF3B62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Revize">
    <w:name w:val="Revision"/>
    <w:hidden/>
    <w:uiPriority w:val="99"/>
    <w:semiHidden/>
    <w:rsid w:val="00D81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7F70-D24C-45AF-95C2-D1CA90EB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3306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Balabuchová Jana</cp:lastModifiedBy>
  <cp:revision>74</cp:revision>
  <cp:lastPrinted>2024-11-19T07:47:00Z</cp:lastPrinted>
  <dcterms:created xsi:type="dcterms:W3CDTF">2021-11-01T08:41:00Z</dcterms:created>
  <dcterms:modified xsi:type="dcterms:W3CDTF">2024-11-26T05:47:00Z</dcterms:modified>
</cp:coreProperties>
</file>