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3452" w14:textId="77777777" w:rsidR="0014508E" w:rsidRDefault="005A11FA">
      <w:pPr>
        <w:rPr>
          <w:rFonts w:ascii="Arial" w:hAnsi="Arial" w:cs="Arial"/>
          <w:b/>
        </w:rPr>
      </w:pPr>
      <w:r w:rsidRPr="005A11FA">
        <w:rPr>
          <w:rFonts w:ascii="Arial" w:hAnsi="Arial" w:cs="Arial"/>
          <w:b/>
        </w:rPr>
        <w:t>Důvodová zpráva</w:t>
      </w:r>
    </w:p>
    <w:p w14:paraId="0B3B771F" w14:textId="58038172" w:rsidR="009B78A0" w:rsidRPr="006B26B9" w:rsidRDefault="009251BB" w:rsidP="009B78A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Rada Olomouckého kraje</w:t>
      </w:r>
      <w:r w:rsidR="009B78A0" w:rsidRPr="00C12ADC">
        <w:rPr>
          <w:rFonts w:ascii="Arial" w:hAnsi="Arial" w:cs="Arial"/>
          <w:b/>
        </w:rPr>
        <w:t xml:space="preserve"> předklád</w:t>
      </w:r>
      <w:r w:rsidR="009B78A0">
        <w:rPr>
          <w:rFonts w:ascii="Arial" w:hAnsi="Arial" w:cs="Arial"/>
          <w:b/>
        </w:rPr>
        <w:t xml:space="preserve">á </w:t>
      </w:r>
      <w:r w:rsidR="00EA56F8">
        <w:rPr>
          <w:rFonts w:ascii="Arial" w:hAnsi="Arial" w:cs="Arial"/>
          <w:b/>
        </w:rPr>
        <w:t>Zastupitelstvu</w:t>
      </w:r>
      <w:r w:rsidR="009B78A0" w:rsidRPr="00C12ADC">
        <w:rPr>
          <w:rFonts w:ascii="Arial" w:hAnsi="Arial" w:cs="Arial"/>
          <w:b/>
        </w:rPr>
        <w:t xml:space="preserve"> Olomouckého kraje </w:t>
      </w:r>
      <w:r w:rsidR="009B78A0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 </w:t>
      </w:r>
      <w:r w:rsidR="009B78A0">
        <w:rPr>
          <w:rFonts w:ascii="Arial" w:hAnsi="Arial" w:cs="Arial"/>
          <w:b/>
        </w:rPr>
        <w:t>od</w:t>
      </w:r>
      <w:r w:rsidR="009B78A0" w:rsidRPr="00454EA1">
        <w:rPr>
          <w:rFonts w:ascii="Arial" w:hAnsi="Arial" w:cs="Arial"/>
          <w:b/>
        </w:rPr>
        <w:t>souhlas</w:t>
      </w:r>
      <w:r w:rsidR="009B78A0">
        <w:rPr>
          <w:rFonts w:ascii="Arial" w:hAnsi="Arial" w:cs="Arial"/>
          <w:b/>
        </w:rPr>
        <w:t>ení</w:t>
      </w:r>
      <w:r w:rsidR="009B78A0" w:rsidRPr="00454EA1">
        <w:rPr>
          <w:rFonts w:ascii="Arial" w:hAnsi="Arial" w:cs="Arial"/>
          <w:b/>
        </w:rPr>
        <w:t xml:space="preserve"> realizac</w:t>
      </w:r>
      <w:r w:rsidR="009B78A0">
        <w:rPr>
          <w:rFonts w:ascii="Arial" w:hAnsi="Arial" w:cs="Arial"/>
          <w:b/>
        </w:rPr>
        <w:t>i</w:t>
      </w:r>
      <w:r w:rsidR="009B78A0" w:rsidRPr="00454EA1">
        <w:rPr>
          <w:rFonts w:ascii="Arial" w:hAnsi="Arial" w:cs="Arial"/>
          <w:b/>
        </w:rPr>
        <w:t xml:space="preserve"> a financování projektu Centrály cestovního ruchu Olomouckého kraje, s.r.o.</w:t>
      </w:r>
      <w:r w:rsidR="009B78A0">
        <w:rPr>
          <w:rFonts w:ascii="Arial" w:hAnsi="Arial" w:cs="Arial"/>
          <w:b/>
        </w:rPr>
        <w:t>, který je připravován</w:t>
      </w:r>
      <w:r w:rsidR="009B78A0" w:rsidRPr="00454EA1">
        <w:rPr>
          <w:rFonts w:ascii="Arial" w:hAnsi="Arial" w:cs="Arial"/>
          <w:b/>
        </w:rPr>
        <w:t xml:space="preserve"> do Národního programu podpory cestovního ruchu v regionech pro</w:t>
      </w:r>
      <w:r w:rsidR="0032068F">
        <w:rPr>
          <w:rFonts w:ascii="Arial" w:hAnsi="Arial" w:cs="Arial"/>
          <w:b/>
        </w:rPr>
        <w:t> </w:t>
      </w:r>
      <w:r w:rsidR="009B78A0" w:rsidRPr="006B26B9">
        <w:rPr>
          <w:rFonts w:ascii="Arial" w:hAnsi="Arial" w:cs="Arial"/>
          <w:b/>
        </w:rPr>
        <w:t>rok 202</w:t>
      </w:r>
      <w:r w:rsidR="00A73EFE">
        <w:rPr>
          <w:rFonts w:ascii="Arial" w:hAnsi="Arial" w:cs="Arial"/>
          <w:b/>
        </w:rPr>
        <w:t>4</w:t>
      </w:r>
      <w:r w:rsidR="009271FA" w:rsidRPr="006B26B9">
        <w:rPr>
          <w:rFonts w:ascii="Arial" w:hAnsi="Arial" w:cs="Arial"/>
          <w:b/>
        </w:rPr>
        <w:t>.</w:t>
      </w:r>
    </w:p>
    <w:p w14:paraId="03559D2F" w14:textId="6AF0FCA7" w:rsidR="009B78A0" w:rsidRDefault="009B78A0" w:rsidP="009B78A0">
      <w:pPr>
        <w:spacing w:before="120" w:after="120"/>
        <w:jc w:val="both"/>
        <w:rPr>
          <w:rFonts w:ascii="Arial" w:hAnsi="Arial" w:cs="Arial"/>
        </w:rPr>
      </w:pPr>
      <w:r w:rsidRPr="006B26B9">
        <w:rPr>
          <w:rFonts w:ascii="Arial" w:hAnsi="Arial" w:cs="Arial"/>
        </w:rPr>
        <w:t xml:space="preserve">Ministerstvo pro místní rozvoj České republiky vyhlásilo dne </w:t>
      </w:r>
      <w:r w:rsidR="00201BB5" w:rsidRPr="006B26B9">
        <w:rPr>
          <w:rFonts w:ascii="Arial" w:hAnsi="Arial" w:cs="Arial"/>
        </w:rPr>
        <w:t>15</w:t>
      </w:r>
      <w:r w:rsidRPr="006B26B9">
        <w:rPr>
          <w:rFonts w:ascii="Arial" w:hAnsi="Arial" w:cs="Arial"/>
        </w:rPr>
        <w:t>. </w:t>
      </w:r>
      <w:r w:rsidR="007E08BA" w:rsidRPr="006B26B9">
        <w:rPr>
          <w:rFonts w:ascii="Arial" w:hAnsi="Arial" w:cs="Arial"/>
        </w:rPr>
        <w:t>1</w:t>
      </w:r>
      <w:r w:rsidR="00201BB5" w:rsidRPr="006B26B9">
        <w:rPr>
          <w:rFonts w:ascii="Arial" w:hAnsi="Arial" w:cs="Arial"/>
        </w:rPr>
        <w:t>2</w:t>
      </w:r>
      <w:r w:rsidRPr="006B26B9">
        <w:rPr>
          <w:rFonts w:ascii="Arial" w:hAnsi="Arial" w:cs="Arial"/>
        </w:rPr>
        <w:t>. 202</w:t>
      </w:r>
      <w:r w:rsidR="00201BB5" w:rsidRPr="006B26B9">
        <w:rPr>
          <w:rFonts w:ascii="Arial" w:hAnsi="Arial" w:cs="Arial"/>
        </w:rPr>
        <w:t>3</w:t>
      </w:r>
      <w:r w:rsidRPr="006B26B9">
        <w:rPr>
          <w:rFonts w:ascii="Arial" w:hAnsi="Arial" w:cs="Arial"/>
        </w:rPr>
        <w:t xml:space="preserve"> výzvu k předkládání projektových žádostí do Národního programu podpory cestovního ruchu v regionech pro rok 202</w:t>
      </w:r>
      <w:r w:rsidR="00AD1BDB" w:rsidRPr="006B26B9">
        <w:rPr>
          <w:rFonts w:ascii="Arial" w:hAnsi="Arial" w:cs="Arial"/>
        </w:rPr>
        <w:t>4</w:t>
      </w:r>
      <w:r w:rsidRPr="006B26B9">
        <w:rPr>
          <w:rFonts w:ascii="Arial" w:hAnsi="Arial" w:cs="Arial"/>
        </w:rPr>
        <w:t xml:space="preserve"> (dále také NPPCRvR), podprogramu Marketingové aktivity v cestovním ruchu, </w:t>
      </w:r>
      <w:r w:rsidRPr="0032068F">
        <w:rPr>
          <w:rFonts w:ascii="Arial" w:hAnsi="Arial" w:cs="Arial"/>
          <w:b/>
          <w:bCs/>
        </w:rPr>
        <w:t>Dotační titul č. 1 - Marketingové aktivity na úrovni krajů</w:t>
      </w:r>
      <w:r w:rsidRPr="006B26B9">
        <w:rPr>
          <w:rFonts w:ascii="Arial" w:hAnsi="Arial" w:cs="Arial"/>
        </w:rPr>
        <w:t>.</w:t>
      </w:r>
    </w:p>
    <w:p w14:paraId="067BBB0A" w14:textId="0E34B233" w:rsidR="009B78A0" w:rsidRDefault="009B78A0" w:rsidP="009B78A0">
      <w:pPr>
        <w:numPr>
          <w:ilvl w:val="0"/>
          <w:numId w:val="4"/>
        </w:numPr>
        <w:spacing w:before="60"/>
        <w:jc w:val="both"/>
        <w:rPr>
          <w:rFonts w:ascii="Arial" w:hAnsi="Arial" w:cs="Arial"/>
        </w:rPr>
      </w:pPr>
      <w:r w:rsidRPr="009251BB">
        <w:rPr>
          <w:rFonts w:ascii="Arial" w:hAnsi="Arial" w:cs="Arial"/>
          <w:b/>
          <w:bCs/>
        </w:rPr>
        <w:t>pro Olomoucký kraj</w:t>
      </w:r>
      <w:r>
        <w:rPr>
          <w:rFonts w:ascii="Arial" w:hAnsi="Arial" w:cs="Arial"/>
        </w:rPr>
        <w:t xml:space="preserve"> je v rámci této výzvy alokována </w:t>
      </w:r>
      <w:r w:rsidRPr="00A90230">
        <w:rPr>
          <w:rFonts w:ascii="Arial" w:hAnsi="Arial" w:cs="Arial"/>
        </w:rPr>
        <w:t xml:space="preserve">částka </w:t>
      </w:r>
      <w:r w:rsidRPr="009251BB">
        <w:rPr>
          <w:rFonts w:ascii="Arial" w:hAnsi="Arial" w:cs="Arial"/>
          <w:b/>
          <w:bCs/>
        </w:rPr>
        <w:t>1</w:t>
      </w:r>
      <w:r w:rsidR="007F3D6A" w:rsidRPr="009251BB">
        <w:rPr>
          <w:rFonts w:ascii="Arial" w:hAnsi="Arial" w:cs="Arial"/>
          <w:b/>
          <w:bCs/>
        </w:rPr>
        <w:t> 812 000</w:t>
      </w:r>
      <w:r w:rsidRPr="009251BB">
        <w:rPr>
          <w:rFonts w:ascii="Arial" w:hAnsi="Arial" w:cs="Arial"/>
          <w:b/>
          <w:bCs/>
        </w:rPr>
        <w:t xml:space="preserve"> Kč</w:t>
      </w:r>
    </w:p>
    <w:p w14:paraId="53C3337E" w14:textId="77777777" w:rsidR="009B78A0" w:rsidRPr="00D658E4" w:rsidRDefault="009B78A0" w:rsidP="009B78A0">
      <w:pPr>
        <w:numPr>
          <w:ilvl w:val="0"/>
          <w:numId w:val="4"/>
        </w:num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maximální výše dotace je 50 % z celkových uznatelných výdajů</w:t>
      </w:r>
    </w:p>
    <w:p w14:paraId="029B3FD8" w14:textId="77777777" w:rsidR="009B78A0" w:rsidRPr="00233100" w:rsidRDefault="009B78A0" w:rsidP="009B78A0">
      <w:pPr>
        <w:numPr>
          <w:ilvl w:val="0"/>
          <w:numId w:val="4"/>
        </w:numPr>
        <w:spacing w:before="60"/>
        <w:jc w:val="both"/>
        <w:rPr>
          <w:rFonts w:ascii="Arial" w:hAnsi="Arial" w:cs="Arial"/>
        </w:rPr>
      </w:pPr>
      <w:r w:rsidRPr="00233100">
        <w:rPr>
          <w:rFonts w:ascii="Arial" w:hAnsi="Arial" w:cs="Arial"/>
        </w:rPr>
        <w:t xml:space="preserve">oprávněnými žadateli jsou: </w:t>
      </w:r>
    </w:p>
    <w:p w14:paraId="18ECF77F" w14:textId="77777777" w:rsidR="009B78A0" w:rsidRDefault="009B78A0" w:rsidP="009B78A0">
      <w:pPr>
        <w:numPr>
          <w:ilvl w:val="1"/>
          <w:numId w:val="4"/>
        </w:numPr>
        <w:spacing w:before="120" w:after="120"/>
        <w:ind w:left="1434" w:hanging="357"/>
        <w:jc w:val="both"/>
        <w:rPr>
          <w:rFonts w:ascii="Arial" w:hAnsi="Arial" w:cs="Arial"/>
        </w:rPr>
      </w:pPr>
      <w:r w:rsidRPr="00233100">
        <w:rPr>
          <w:rFonts w:ascii="Arial" w:hAnsi="Arial" w:cs="Arial"/>
        </w:rPr>
        <w:t xml:space="preserve">certifikované (registrované) </w:t>
      </w:r>
      <w:r w:rsidRPr="0032068F">
        <w:rPr>
          <w:rFonts w:ascii="Arial" w:hAnsi="Arial" w:cs="Arial"/>
          <w:b/>
          <w:bCs/>
        </w:rPr>
        <w:t>krajské DMO</w:t>
      </w:r>
      <w:r w:rsidRPr="00233100">
        <w:rPr>
          <w:rFonts w:ascii="Arial" w:hAnsi="Arial" w:cs="Arial"/>
        </w:rPr>
        <w:t xml:space="preserve"> (DMO – organizace destinačních managementů mající různou právní subjektivitu), </w:t>
      </w:r>
    </w:p>
    <w:p w14:paraId="55DF7531" w14:textId="77777777" w:rsidR="009B78A0" w:rsidRDefault="009B78A0" w:rsidP="009B78A0">
      <w:pPr>
        <w:numPr>
          <w:ilvl w:val="1"/>
          <w:numId w:val="4"/>
        </w:numPr>
        <w:spacing w:before="120" w:after="120"/>
        <w:ind w:left="1434" w:hanging="357"/>
        <w:jc w:val="both"/>
        <w:rPr>
          <w:rFonts w:ascii="Arial" w:hAnsi="Arial" w:cs="Arial"/>
        </w:rPr>
      </w:pPr>
      <w:r w:rsidRPr="00233100">
        <w:rPr>
          <w:rFonts w:ascii="Arial" w:hAnsi="Arial" w:cs="Arial"/>
        </w:rPr>
        <w:t>útvar krajského úřadu s gescí „cestovní ruch“ (např. krajské oddělení cestovního ruchu) v případě, že certifikovaná (registrovaná) krajská DMO neprokáže min. 1 ro</w:t>
      </w:r>
      <w:r>
        <w:rPr>
          <w:rFonts w:ascii="Arial" w:hAnsi="Arial" w:cs="Arial"/>
        </w:rPr>
        <w:t xml:space="preserve">k činnosti (tj. 12 měsíců). </w:t>
      </w:r>
    </w:p>
    <w:p w14:paraId="789FB02A" w14:textId="6AF5CD42" w:rsidR="009B78A0" w:rsidRPr="00B028AF" w:rsidRDefault="009B78A0" w:rsidP="009B78A0">
      <w:pPr>
        <w:numPr>
          <w:ilvl w:val="0"/>
          <w:numId w:val="4"/>
        </w:numPr>
        <w:spacing w:before="60" w:after="24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81263D">
        <w:rPr>
          <w:rFonts w:ascii="Arial" w:hAnsi="Arial" w:cs="Arial"/>
        </w:rPr>
        <w:t xml:space="preserve">onečný termín pro předkládání žádostí </w:t>
      </w:r>
      <w:r w:rsidRPr="0032068F">
        <w:rPr>
          <w:rFonts w:ascii="Arial" w:hAnsi="Arial" w:cs="Arial"/>
          <w:b/>
          <w:bCs/>
        </w:rPr>
        <w:t xml:space="preserve">je </w:t>
      </w:r>
      <w:r w:rsidR="007F3D6A" w:rsidRPr="0032068F">
        <w:rPr>
          <w:rFonts w:ascii="Arial" w:hAnsi="Arial" w:cs="Arial"/>
          <w:b/>
          <w:bCs/>
        </w:rPr>
        <w:t>29</w:t>
      </w:r>
      <w:r w:rsidRPr="0032068F">
        <w:rPr>
          <w:rFonts w:ascii="Arial" w:hAnsi="Arial" w:cs="Arial"/>
          <w:b/>
          <w:bCs/>
        </w:rPr>
        <w:t>. </w:t>
      </w:r>
      <w:r w:rsidR="007F3D6A" w:rsidRPr="0032068F">
        <w:rPr>
          <w:rFonts w:ascii="Arial" w:hAnsi="Arial" w:cs="Arial"/>
          <w:b/>
          <w:bCs/>
        </w:rPr>
        <w:t>2</w:t>
      </w:r>
      <w:r w:rsidRPr="0032068F">
        <w:rPr>
          <w:rFonts w:ascii="Arial" w:hAnsi="Arial" w:cs="Arial"/>
          <w:b/>
          <w:bCs/>
        </w:rPr>
        <w:t>. 202</w:t>
      </w:r>
      <w:r w:rsidR="007F3D6A" w:rsidRPr="0032068F">
        <w:rPr>
          <w:rFonts w:ascii="Arial" w:hAnsi="Arial" w:cs="Arial"/>
          <w:b/>
          <w:bCs/>
        </w:rPr>
        <w:t>4</w:t>
      </w:r>
    </w:p>
    <w:p w14:paraId="21363385" w14:textId="3C03D82A" w:rsidR="009B78A0" w:rsidRDefault="009B78A0" w:rsidP="009B78A0">
      <w:pPr>
        <w:spacing w:before="120"/>
        <w:jc w:val="both"/>
        <w:rPr>
          <w:rFonts w:ascii="Arial" w:hAnsi="Arial" w:cs="Arial"/>
        </w:rPr>
      </w:pPr>
      <w:r w:rsidRPr="00454EA1">
        <w:rPr>
          <w:rFonts w:ascii="Arial" w:hAnsi="Arial" w:cs="Arial"/>
          <w:b/>
        </w:rPr>
        <w:t>Centrál</w:t>
      </w:r>
      <w:r>
        <w:rPr>
          <w:rFonts w:ascii="Arial" w:hAnsi="Arial" w:cs="Arial"/>
          <w:b/>
        </w:rPr>
        <w:t>a</w:t>
      </w:r>
      <w:r w:rsidRPr="00454EA1">
        <w:rPr>
          <w:rFonts w:ascii="Arial" w:hAnsi="Arial" w:cs="Arial"/>
          <w:b/>
        </w:rPr>
        <w:t xml:space="preserve"> cestovního ruchu Olomouckého kraje, s.r.o.</w:t>
      </w:r>
      <w:r>
        <w:rPr>
          <w:rFonts w:ascii="Arial" w:hAnsi="Arial" w:cs="Arial"/>
          <w:b/>
        </w:rPr>
        <w:t xml:space="preserve">, která je certifikovanou krajskou DMO připravuje </w:t>
      </w:r>
      <w:r>
        <w:rPr>
          <w:rFonts w:ascii="Arial" w:hAnsi="Arial" w:cs="Arial"/>
        </w:rPr>
        <w:t>d</w:t>
      </w:r>
      <w:r w:rsidRPr="0081263D">
        <w:rPr>
          <w:rFonts w:ascii="Arial" w:hAnsi="Arial" w:cs="Arial"/>
        </w:rPr>
        <w:t xml:space="preserve">o této výzvy projekt </w:t>
      </w:r>
      <w:r w:rsidRPr="00C07343">
        <w:rPr>
          <w:rFonts w:ascii="Arial" w:hAnsi="Arial" w:cs="Arial"/>
          <w:b/>
        </w:rPr>
        <w:t>„</w:t>
      </w:r>
      <w:r w:rsidR="00B10A57">
        <w:rPr>
          <w:rFonts w:ascii="Arial" w:hAnsi="Arial" w:cs="Arial"/>
          <w:b/>
        </w:rPr>
        <w:t>Olomoucký kraj</w:t>
      </w:r>
      <w:r>
        <w:rPr>
          <w:rFonts w:ascii="Arial" w:hAnsi="Arial" w:cs="Arial"/>
          <w:b/>
        </w:rPr>
        <w:t xml:space="preserve"> -</w:t>
      </w:r>
      <w:r w:rsidR="007F3D6A">
        <w:rPr>
          <w:rFonts w:ascii="Arial" w:hAnsi="Arial" w:cs="Arial"/>
          <w:b/>
        </w:rPr>
        <w:t xml:space="preserve"> </w:t>
      </w:r>
      <w:r w:rsidR="00ED49D4" w:rsidRPr="00ED49D4">
        <w:rPr>
          <w:rFonts w:ascii="Arial" w:hAnsi="Arial" w:cs="Arial"/>
          <w:b/>
        </w:rPr>
        <w:t>efektivní řízení a marketing destinace</w:t>
      </w:r>
      <w:r w:rsidRPr="00C07343">
        <w:rPr>
          <w:rFonts w:ascii="Arial" w:hAnsi="Arial" w:cs="Arial"/>
          <w:b/>
        </w:rPr>
        <w:t>“,</w:t>
      </w:r>
      <w:r>
        <w:rPr>
          <w:rFonts w:ascii="Arial" w:hAnsi="Arial" w:cs="Arial"/>
        </w:rPr>
        <w:t xml:space="preserve"> jehož cílem </w:t>
      </w:r>
      <w:r w:rsidRPr="0081263D">
        <w:rPr>
          <w:rFonts w:ascii="Arial" w:hAnsi="Arial" w:cs="Arial"/>
        </w:rPr>
        <w:t xml:space="preserve">je </w:t>
      </w:r>
      <w:r w:rsidR="00ED49D4">
        <w:rPr>
          <w:rFonts w:ascii="Arial" w:hAnsi="Arial" w:cs="Arial"/>
        </w:rPr>
        <w:t xml:space="preserve">efektivní řízení a </w:t>
      </w:r>
      <w:r w:rsidRPr="0081263D">
        <w:rPr>
          <w:rFonts w:ascii="Arial" w:hAnsi="Arial" w:cs="Arial"/>
        </w:rPr>
        <w:t>koordinovaná propagace Olomouckého kraje jako turistické destinace a následné zvýšení návštěvnosti kraje</w:t>
      </w:r>
      <w:r>
        <w:rPr>
          <w:rFonts w:ascii="Arial" w:hAnsi="Arial" w:cs="Arial"/>
        </w:rPr>
        <w:t xml:space="preserve">. </w:t>
      </w:r>
    </w:p>
    <w:p w14:paraId="1D1B1CDE" w14:textId="0548A369" w:rsidR="00B25263" w:rsidRPr="00034E6D" w:rsidRDefault="003D5ACE" w:rsidP="00EB744B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Dle podmínek dotačního titulu</w:t>
      </w:r>
      <w:r w:rsidR="004767F2">
        <w:rPr>
          <w:rFonts w:ascii="Arial" w:hAnsi="Arial" w:cs="Arial"/>
          <w:b/>
        </w:rPr>
        <w:t xml:space="preserve"> je </w:t>
      </w:r>
      <w:r>
        <w:rPr>
          <w:rFonts w:ascii="Arial" w:hAnsi="Arial" w:cs="Arial"/>
          <w:b/>
        </w:rPr>
        <w:t>povinnou přílohou žádosti o dotaci</w:t>
      </w:r>
      <w:r w:rsidR="001C3391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4767F2" w:rsidRPr="00034E6D">
        <w:rPr>
          <w:rFonts w:ascii="Arial" w:hAnsi="Arial" w:cs="Arial"/>
          <w:bCs/>
        </w:rPr>
        <w:t>v případě že žádost podává kraj</w:t>
      </w:r>
      <w:r w:rsidR="001C3391" w:rsidRPr="00034E6D">
        <w:rPr>
          <w:rFonts w:ascii="Arial" w:hAnsi="Arial" w:cs="Arial"/>
          <w:bCs/>
        </w:rPr>
        <w:t>ská DMO,</w:t>
      </w:r>
      <w:r w:rsidR="001C3391">
        <w:rPr>
          <w:rFonts w:ascii="Arial" w:hAnsi="Arial" w:cs="Arial"/>
          <w:b/>
        </w:rPr>
        <w:t xml:space="preserve"> </w:t>
      </w:r>
      <w:r w:rsidR="002D4592">
        <w:rPr>
          <w:rFonts w:ascii="Arial" w:hAnsi="Arial" w:cs="Arial"/>
          <w:b/>
        </w:rPr>
        <w:t>souhlas rady</w:t>
      </w:r>
      <w:r w:rsidR="00212544">
        <w:rPr>
          <w:rFonts w:ascii="Arial" w:hAnsi="Arial" w:cs="Arial"/>
          <w:b/>
        </w:rPr>
        <w:t>/zastupitelstva</w:t>
      </w:r>
      <w:r w:rsidR="002D4592">
        <w:rPr>
          <w:rFonts w:ascii="Arial" w:hAnsi="Arial" w:cs="Arial"/>
          <w:b/>
        </w:rPr>
        <w:t xml:space="preserve"> </w:t>
      </w:r>
      <w:r w:rsidR="00087FC9">
        <w:rPr>
          <w:rFonts w:ascii="Arial" w:hAnsi="Arial" w:cs="Arial"/>
          <w:b/>
        </w:rPr>
        <w:t xml:space="preserve">kraje. </w:t>
      </w:r>
      <w:r w:rsidR="00087FC9" w:rsidRPr="00034E6D">
        <w:rPr>
          <w:rFonts w:ascii="Arial" w:hAnsi="Arial" w:cs="Arial"/>
          <w:bCs/>
        </w:rPr>
        <w:t xml:space="preserve">Souhlas je nutné doložit formou usnesení </w:t>
      </w:r>
      <w:r w:rsidR="00621E43" w:rsidRPr="00034E6D">
        <w:rPr>
          <w:rFonts w:ascii="Arial" w:hAnsi="Arial" w:cs="Arial"/>
          <w:bCs/>
        </w:rPr>
        <w:t xml:space="preserve">rady, které obsahuje </w:t>
      </w:r>
      <w:r w:rsidR="00CD744F" w:rsidRPr="00034E6D">
        <w:rPr>
          <w:rFonts w:ascii="Arial" w:hAnsi="Arial" w:cs="Arial"/>
          <w:bCs/>
        </w:rPr>
        <w:t>text</w:t>
      </w:r>
      <w:r w:rsidR="00600BF7" w:rsidRPr="00034E6D">
        <w:rPr>
          <w:rFonts w:ascii="Arial" w:hAnsi="Arial" w:cs="Arial"/>
          <w:bCs/>
        </w:rPr>
        <w:t xml:space="preserve"> vyjadřující „souhlas s realizací a fina</w:t>
      </w:r>
      <w:r w:rsidR="00034E6D" w:rsidRPr="00034E6D">
        <w:rPr>
          <w:rFonts w:ascii="Arial" w:hAnsi="Arial" w:cs="Arial"/>
          <w:bCs/>
        </w:rPr>
        <w:t>n</w:t>
      </w:r>
      <w:r w:rsidR="00600BF7" w:rsidRPr="00034E6D">
        <w:rPr>
          <w:rFonts w:ascii="Arial" w:hAnsi="Arial" w:cs="Arial"/>
          <w:bCs/>
        </w:rPr>
        <w:t>cováním akce“</w:t>
      </w:r>
      <w:r w:rsidR="00034E6D">
        <w:rPr>
          <w:rFonts w:ascii="Arial" w:hAnsi="Arial" w:cs="Arial"/>
          <w:bCs/>
        </w:rPr>
        <w:t xml:space="preserve">. </w:t>
      </w:r>
      <w:r w:rsidR="00034E6D" w:rsidRPr="007B5BD5">
        <w:rPr>
          <w:rFonts w:ascii="Arial" w:hAnsi="Arial" w:cs="Arial"/>
          <w:b/>
        </w:rPr>
        <w:t>V případě, že</w:t>
      </w:r>
      <w:r w:rsidR="00493C81" w:rsidRPr="007B5BD5">
        <w:rPr>
          <w:rFonts w:ascii="Arial" w:hAnsi="Arial" w:cs="Arial"/>
          <w:b/>
        </w:rPr>
        <w:t> </w:t>
      </w:r>
      <w:r w:rsidR="00034E6D" w:rsidRPr="007B5BD5">
        <w:rPr>
          <w:rFonts w:ascii="Arial" w:hAnsi="Arial" w:cs="Arial"/>
          <w:b/>
        </w:rPr>
        <w:t>ž</w:t>
      </w:r>
      <w:r w:rsidR="00493C81" w:rsidRPr="007B5BD5">
        <w:rPr>
          <w:rFonts w:ascii="Arial" w:hAnsi="Arial" w:cs="Arial"/>
          <w:b/>
        </w:rPr>
        <w:t>á</w:t>
      </w:r>
      <w:r w:rsidR="00034E6D" w:rsidRPr="007B5BD5">
        <w:rPr>
          <w:rFonts w:ascii="Arial" w:hAnsi="Arial" w:cs="Arial"/>
          <w:b/>
        </w:rPr>
        <w:t>d</w:t>
      </w:r>
      <w:r w:rsidR="00493C81" w:rsidRPr="007B5BD5">
        <w:rPr>
          <w:rFonts w:ascii="Arial" w:hAnsi="Arial" w:cs="Arial"/>
          <w:b/>
        </w:rPr>
        <w:t>ost bude navržena k dotaci, musí být následně doloženo i usnesení Zastupitelstva Olomouckého kraje</w:t>
      </w:r>
      <w:r w:rsidR="00A11009">
        <w:rPr>
          <w:rFonts w:ascii="Arial" w:hAnsi="Arial" w:cs="Arial"/>
          <w:bCs/>
        </w:rPr>
        <w:t>.</w:t>
      </w:r>
    </w:p>
    <w:p w14:paraId="342F1FC8" w14:textId="14DE24BC" w:rsidR="00102641" w:rsidRDefault="00B028AF" w:rsidP="0090572F">
      <w:pPr>
        <w:spacing w:before="240" w:after="120"/>
        <w:jc w:val="both"/>
        <w:rPr>
          <w:rFonts w:ascii="Arial" w:hAnsi="Arial" w:cs="Arial"/>
          <w:b/>
          <w:u w:val="single"/>
        </w:rPr>
      </w:pPr>
      <w:r w:rsidRPr="00C12ADC">
        <w:rPr>
          <w:rFonts w:ascii="Arial" w:hAnsi="Arial" w:cs="Arial"/>
          <w:b/>
          <w:u w:val="single"/>
        </w:rPr>
        <w:t>P</w:t>
      </w:r>
      <w:r w:rsidR="00EB744B" w:rsidRPr="00C12ADC">
        <w:rPr>
          <w:rFonts w:ascii="Arial" w:hAnsi="Arial" w:cs="Arial"/>
          <w:b/>
          <w:u w:val="single"/>
        </w:rPr>
        <w:t>opis aktivit projektu</w:t>
      </w:r>
      <w:r w:rsidRPr="00C12ADC">
        <w:rPr>
          <w:rFonts w:ascii="Arial" w:hAnsi="Arial" w:cs="Arial"/>
          <w:b/>
          <w:u w:val="single"/>
        </w:rPr>
        <w:t>:</w:t>
      </w:r>
    </w:p>
    <w:p w14:paraId="114480BF" w14:textId="7942F4DC" w:rsidR="00391A5E" w:rsidRDefault="00DC6B7B" w:rsidP="00391A5E">
      <w:pPr>
        <w:pStyle w:val="Zkladntextodsazen"/>
        <w:numPr>
          <w:ilvl w:val="3"/>
          <w:numId w:val="6"/>
        </w:numPr>
        <w:tabs>
          <w:tab w:val="left" w:pos="426"/>
        </w:tabs>
        <w:spacing w:before="240" w:after="120"/>
        <w:ind w:left="425" w:hanging="425"/>
        <w:jc w:val="both"/>
        <w:rPr>
          <w:b/>
        </w:rPr>
      </w:pPr>
      <w:r>
        <w:rPr>
          <w:b/>
        </w:rPr>
        <w:t>Z</w:t>
      </w:r>
      <w:r w:rsidR="00391A5E">
        <w:rPr>
          <w:b/>
        </w:rPr>
        <w:t xml:space="preserve">pracování Marketingové </w:t>
      </w:r>
      <w:r w:rsidR="00835FFC">
        <w:rPr>
          <w:b/>
        </w:rPr>
        <w:t xml:space="preserve">strategie </w:t>
      </w:r>
      <w:r w:rsidR="00391A5E">
        <w:rPr>
          <w:b/>
        </w:rPr>
        <w:t>cestovního ruchu</w:t>
      </w:r>
      <w:r w:rsidR="009D7162">
        <w:rPr>
          <w:b/>
        </w:rPr>
        <w:t xml:space="preserve"> v </w:t>
      </w:r>
      <w:r w:rsidR="00835FFC">
        <w:rPr>
          <w:b/>
        </w:rPr>
        <w:t> O</w:t>
      </w:r>
      <w:r w:rsidR="009D7162">
        <w:rPr>
          <w:b/>
        </w:rPr>
        <w:t>lomouckém kraji 2025 - 2028</w:t>
      </w:r>
      <w:r w:rsidR="00391A5E">
        <w:rPr>
          <w:b/>
        </w:rPr>
        <w:t xml:space="preserve">, </w:t>
      </w:r>
      <w:r w:rsidR="000D1191">
        <w:rPr>
          <w:b/>
        </w:rPr>
        <w:t>22</w:t>
      </w:r>
      <w:r w:rsidR="00391A5E" w:rsidRPr="00113BA7">
        <w:rPr>
          <w:b/>
        </w:rPr>
        <w:t>0 tis. Kč bez DP</w:t>
      </w:r>
      <w:r w:rsidR="00391A5E">
        <w:rPr>
          <w:b/>
        </w:rPr>
        <w:t>H</w:t>
      </w:r>
    </w:p>
    <w:p w14:paraId="6F52378F" w14:textId="5A85CBBA" w:rsidR="009D02FA" w:rsidRDefault="009D02FA" w:rsidP="009D02FA">
      <w:pPr>
        <w:pStyle w:val="Zkladntextodsazen"/>
        <w:tabs>
          <w:tab w:val="left" w:pos="426"/>
        </w:tabs>
        <w:spacing w:before="240" w:after="120"/>
        <w:ind w:left="0"/>
        <w:jc w:val="both"/>
      </w:pPr>
      <w:r w:rsidRPr="000D06CB">
        <w:t xml:space="preserve">Zpracování Marketingové </w:t>
      </w:r>
      <w:r w:rsidR="00835FFC">
        <w:t>strategie</w:t>
      </w:r>
      <w:r w:rsidR="00835FFC" w:rsidRPr="000D06CB">
        <w:t xml:space="preserve"> </w:t>
      </w:r>
      <w:r w:rsidRPr="000D06CB">
        <w:t xml:space="preserve">cestovního ruchu v Olomouckém kraji na období 2025 </w:t>
      </w:r>
      <w:r>
        <w:t>–</w:t>
      </w:r>
      <w:r w:rsidRPr="000D06CB">
        <w:t xml:space="preserve"> 2028</w:t>
      </w:r>
      <w:r>
        <w:t xml:space="preserve">. </w:t>
      </w:r>
      <w:r w:rsidR="00835FFC">
        <w:t>T</w:t>
      </w:r>
      <w:r>
        <w:t xml:space="preserve">ato </w:t>
      </w:r>
      <w:r w:rsidR="00835FFC">
        <w:t>strategie</w:t>
      </w:r>
      <w:r>
        <w:t xml:space="preserve"> </w:t>
      </w:r>
      <w:r w:rsidRPr="000D06CB">
        <w:t xml:space="preserve">je hlavním dokumentem CCROK. Stávající </w:t>
      </w:r>
      <w:r w:rsidR="008E462E">
        <w:t>strategie</w:t>
      </w:r>
      <w:r w:rsidR="008E462E" w:rsidRPr="000D06CB">
        <w:t xml:space="preserve"> </w:t>
      </w:r>
      <w:r w:rsidRPr="000D06CB">
        <w:t xml:space="preserve">je zpracována na období 2021 – 2024 a </w:t>
      </w:r>
      <w:r w:rsidRPr="008B0FDB">
        <w:rPr>
          <w:u w:val="single"/>
        </w:rPr>
        <w:t>je tedy potřeba zpracovat aktuální dokument</w:t>
      </w:r>
      <w:r w:rsidRPr="000D06CB">
        <w:t xml:space="preserve">, který bude reflektovat aktuální změny na poli cestovního ruchu. </w:t>
      </w:r>
    </w:p>
    <w:p w14:paraId="402A6B53" w14:textId="464C576C" w:rsidR="009D02FA" w:rsidRPr="000D06CB" w:rsidRDefault="009D02FA" w:rsidP="009D02FA">
      <w:pPr>
        <w:pStyle w:val="Zkladntextodsazen"/>
        <w:tabs>
          <w:tab w:val="left" w:pos="426"/>
        </w:tabs>
        <w:spacing w:before="240" w:after="120"/>
        <w:ind w:left="0"/>
        <w:jc w:val="both"/>
      </w:pPr>
      <w:r w:rsidRPr="000D06CB">
        <w:rPr>
          <w:rFonts w:cs="Arial"/>
          <w:color w:val="000000"/>
          <w:szCs w:val="20"/>
        </w:rPr>
        <w:t xml:space="preserve">Bude provedena analýza aktuálního stavu </w:t>
      </w:r>
      <w:r w:rsidR="00F51A4D">
        <w:rPr>
          <w:rFonts w:cs="Arial"/>
          <w:color w:val="000000"/>
          <w:szCs w:val="20"/>
        </w:rPr>
        <w:t>nabídky cestovního ruchu</w:t>
      </w:r>
      <w:r w:rsidRPr="000D06CB">
        <w:rPr>
          <w:rFonts w:cs="Arial"/>
          <w:color w:val="000000"/>
          <w:szCs w:val="20"/>
        </w:rPr>
        <w:t xml:space="preserve"> na území Olomouckého kraje</w:t>
      </w:r>
      <w:r>
        <w:rPr>
          <w:rFonts w:cs="Arial"/>
          <w:color w:val="000000"/>
          <w:szCs w:val="20"/>
        </w:rPr>
        <w:t xml:space="preserve"> a obou jeho turistických oblastí: Střední Morava a Jeseníky</w:t>
      </w:r>
      <w:r w:rsidRPr="000D06CB">
        <w:rPr>
          <w:rFonts w:cs="Arial"/>
          <w:color w:val="000000"/>
          <w:szCs w:val="20"/>
        </w:rPr>
        <w:t>, tj. budou identifikovány její změny v důsledku globálních problémů. T</w:t>
      </w:r>
      <w:r w:rsidR="00CB7532">
        <w:rPr>
          <w:rFonts w:cs="Arial"/>
          <w:color w:val="000000"/>
          <w:szCs w:val="20"/>
        </w:rPr>
        <w:t>y</w:t>
      </w:r>
      <w:r w:rsidRPr="000D06CB">
        <w:rPr>
          <w:rFonts w:cs="Arial"/>
          <w:color w:val="000000"/>
          <w:szCs w:val="20"/>
        </w:rPr>
        <w:t>to změn</w:t>
      </w:r>
      <w:r w:rsidR="00CB7532">
        <w:rPr>
          <w:rFonts w:cs="Arial"/>
          <w:color w:val="000000"/>
          <w:szCs w:val="20"/>
        </w:rPr>
        <w:t>y</w:t>
      </w:r>
      <w:r w:rsidRPr="000D06CB">
        <w:rPr>
          <w:rFonts w:cs="Arial"/>
          <w:color w:val="000000"/>
          <w:szCs w:val="20"/>
        </w:rPr>
        <w:t xml:space="preserve"> bude následně reflektovat návrhová část studie včetně zohlednění měnících se preferencí cílových skupin a aktuálních trendů v cestovním ruchu.</w:t>
      </w:r>
    </w:p>
    <w:p w14:paraId="4A5DB4D0" w14:textId="77777777" w:rsidR="000D1191" w:rsidRDefault="000D1191" w:rsidP="000D1191">
      <w:pPr>
        <w:pStyle w:val="Zkladntextodsazen"/>
        <w:tabs>
          <w:tab w:val="left" w:pos="426"/>
        </w:tabs>
        <w:spacing w:before="240" w:after="120"/>
        <w:ind w:left="0"/>
        <w:jc w:val="both"/>
        <w:rPr>
          <w:b/>
        </w:rPr>
      </w:pPr>
    </w:p>
    <w:p w14:paraId="1042DB10" w14:textId="49187DAD" w:rsidR="00391A5E" w:rsidRDefault="00391A5E" w:rsidP="00391A5E">
      <w:pPr>
        <w:pStyle w:val="Zkladntextodsazen"/>
        <w:numPr>
          <w:ilvl w:val="3"/>
          <w:numId w:val="6"/>
        </w:numPr>
        <w:tabs>
          <w:tab w:val="left" w:pos="426"/>
        </w:tabs>
        <w:spacing w:before="240" w:after="120"/>
        <w:ind w:left="425" w:hanging="425"/>
        <w:jc w:val="both"/>
        <w:rPr>
          <w:b/>
        </w:rPr>
      </w:pPr>
      <w:r w:rsidRPr="00B426BE">
        <w:rPr>
          <w:b/>
        </w:rPr>
        <w:lastRenderedPageBreak/>
        <w:t>Zpracování</w:t>
      </w:r>
      <w:r w:rsidR="0089504B">
        <w:rPr>
          <w:b/>
        </w:rPr>
        <w:t xml:space="preserve"> S</w:t>
      </w:r>
      <w:r w:rsidRPr="00B426BE">
        <w:rPr>
          <w:b/>
        </w:rPr>
        <w:t xml:space="preserve">trategie </w:t>
      </w:r>
      <w:r w:rsidR="0089504B">
        <w:rPr>
          <w:b/>
        </w:rPr>
        <w:t xml:space="preserve">rozvoje </w:t>
      </w:r>
      <w:r w:rsidRPr="00B426BE">
        <w:rPr>
          <w:b/>
        </w:rPr>
        <w:t>produktu Ochutnej Moravu na kole</w:t>
      </w:r>
      <w:r>
        <w:rPr>
          <w:b/>
        </w:rPr>
        <w:t>, cca</w:t>
      </w:r>
      <w:r w:rsidR="008B0FDB">
        <w:rPr>
          <w:b/>
        </w:rPr>
        <w:t> </w:t>
      </w:r>
      <w:r>
        <w:rPr>
          <w:b/>
        </w:rPr>
        <w:t>1</w:t>
      </w:r>
      <w:r w:rsidR="000D1191">
        <w:rPr>
          <w:b/>
        </w:rPr>
        <w:t>7</w:t>
      </w:r>
      <w:r>
        <w:rPr>
          <w:b/>
        </w:rPr>
        <w:t>0 </w:t>
      </w:r>
      <w:r w:rsidRPr="005D7B55">
        <w:rPr>
          <w:b/>
        </w:rPr>
        <w:t>tis.</w:t>
      </w:r>
      <w:r w:rsidR="008B0FDB">
        <w:rPr>
          <w:b/>
        </w:rPr>
        <w:t> </w:t>
      </w:r>
      <w:r w:rsidRPr="005D7B55">
        <w:rPr>
          <w:b/>
        </w:rPr>
        <w:t>Kč bez DPH</w:t>
      </w:r>
    </w:p>
    <w:p w14:paraId="5ABD5CC0" w14:textId="77687EB9" w:rsidR="00E408D5" w:rsidRDefault="00E408D5" w:rsidP="00E408D5">
      <w:pPr>
        <w:pStyle w:val="Zkladntextodsazen"/>
        <w:tabs>
          <w:tab w:val="left" w:pos="426"/>
        </w:tabs>
        <w:spacing w:before="240" w:after="120"/>
        <w:ind w:left="0"/>
        <w:jc w:val="both"/>
      </w:pPr>
      <w:r w:rsidRPr="00D35003">
        <w:t xml:space="preserve">Produkt Ochutnej Moravu na kole zahrnuje regionální producenty ze sektoru gastro z oblasti na rozhraní turistických oblastí Střední Morava  a Jeseníky. Tito producenti jsou propojeni cca 90 km dlouhou cyklotrasou, která je vyznačena v terénu. Tento lokální produkt se setkal s ohlasem cykloturistů (takže se podařilo oslovit </w:t>
      </w:r>
      <w:r w:rsidR="005C332E">
        <w:t>cílovou skupinu</w:t>
      </w:r>
      <w:r w:rsidRPr="00D35003">
        <w:t xml:space="preserve">) i odborné veřejnosti (2. místo ve </w:t>
      </w:r>
      <w:r>
        <w:t>V</w:t>
      </w:r>
      <w:r w:rsidRPr="00D35003">
        <w:t>elké ceně CR za produkt 2020/2021).</w:t>
      </w:r>
    </w:p>
    <w:p w14:paraId="23ABC7E9" w14:textId="69F693EA" w:rsidR="00744F03" w:rsidRPr="00E408D5" w:rsidRDefault="00E408D5" w:rsidP="00744F03">
      <w:pPr>
        <w:pStyle w:val="Zkladntextodsazen"/>
        <w:tabs>
          <w:tab w:val="left" w:pos="426"/>
        </w:tabs>
        <w:spacing w:before="240" w:after="120"/>
        <w:ind w:left="0"/>
        <w:jc w:val="both"/>
      </w:pPr>
      <w:r>
        <w:t>S</w:t>
      </w:r>
      <w:r w:rsidRPr="00D35003">
        <w:t xml:space="preserve">trategie bude řešit nejen další rozvoj tohoto lokálního produktu, ale především v ní bude zpracován koncept vzniku regionálního produktu, který bude </w:t>
      </w:r>
      <w:r>
        <w:t>rozšířen</w:t>
      </w:r>
      <w:r w:rsidRPr="00D35003">
        <w:t xml:space="preserve"> i </w:t>
      </w:r>
      <w:r>
        <w:t xml:space="preserve">na </w:t>
      </w:r>
      <w:r w:rsidRPr="00D35003">
        <w:t>další lokality v Olomouckém kraji, v nichž by obdobná gastro trasa mohla vzniknout na základě aplikace příkladu dobré praxe</w:t>
      </w:r>
      <w:r>
        <w:t xml:space="preserve"> – tento dokument bude sloužit jako podklad pro realizaci těchto dílčích produktů (gastro tras), přičemž tato realizace není předmětem projektu. Aplikace příkladu</w:t>
      </w:r>
      <w:r w:rsidRPr="00D35003">
        <w:t xml:space="preserve"> dobr</w:t>
      </w:r>
      <w:r>
        <w:t>é</w:t>
      </w:r>
      <w:r w:rsidRPr="00D35003">
        <w:t xml:space="preserve"> praxe </w:t>
      </w:r>
      <w:r>
        <w:t>se vztahuje jak k </w:t>
      </w:r>
      <w:r w:rsidRPr="00D35003">
        <w:t>lokální</w:t>
      </w:r>
      <w:r>
        <w:t xml:space="preserve">mu </w:t>
      </w:r>
      <w:r w:rsidRPr="00D35003">
        <w:t xml:space="preserve">produktu Ochutnej Moravu na kole, tak </w:t>
      </w:r>
      <w:r>
        <w:t>je tím myšlena rovněž</w:t>
      </w:r>
      <w:r w:rsidRPr="00D35003">
        <w:t xml:space="preserve"> inspirace fungujícím regionálním produktem jakým jsou např. Vinařské stezky.</w:t>
      </w:r>
    </w:p>
    <w:p w14:paraId="1AE6CC57" w14:textId="0C22EE72" w:rsidR="00983509" w:rsidRDefault="00983509" w:rsidP="00983509">
      <w:pPr>
        <w:pStyle w:val="Zkladntextodsazen"/>
        <w:numPr>
          <w:ilvl w:val="3"/>
          <w:numId w:val="6"/>
        </w:numPr>
        <w:tabs>
          <w:tab w:val="left" w:pos="426"/>
        </w:tabs>
        <w:spacing w:before="240" w:after="120"/>
        <w:ind w:left="425" w:hanging="425"/>
        <w:jc w:val="both"/>
        <w:rPr>
          <w:b/>
        </w:rPr>
      </w:pPr>
      <w:r>
        <w:rPr>
          <w:b/>
        </w:rPr>
        <w:t>Mapování bezbariéro</w:t>
      </w:r>
      <w:r w:rsidR="000D1191">
        <w:rPr>
          <w:b/>
        </w:rPr>
        <w:t>vých</w:t>
      </w:r>
      <w:r>
        <w:rPr>
          <w:b/>
        </w:rPr>
        <w:t xml:space="preserve"> cílů, cca </w:t>
      </w:r>
      <w:r w:rsidR="002E597B">
        <w:rPr>
          <w:b/>
        </w:rPr>
        <w:t>97</w:t>
      </w:r>
      <w:r w:rsidR="006A01EA">
        <w:rPr>
          <w:b/>
        </w:rPr>
        <w:t>,5</w:t>
      </w:r>
      <w:r>
        <w:rPr>
          <w:b/>
        </w:rPr>
        <w:t> </w:t>
      </w:r>
      <w:r w:rsidRPr="005D7B55">
        <w:rPr>
          <w:b/>
        </w:rPr>
        <w:t>tis. Kč bez DPH</w:t>
      </w:r>
    </w:p>
    <w:p w14:paraId="585161EB" w14:textId="339579B6" w:rsidR="00D817AD" w:rsidRDefault="00D817AD" w:rsidP="00D817AD">
      <w:pPr>
        <w:pStyle w:val="Zkladntextodsazen"/>
        <w:tabs>
          <w:tab w:val="left" w:pos="426"/>
        </w:tabs>
        <w:spacing w:before="240" w:after="120"/>
        <w:ind w:left="0"/>
        <w:jc w:val="both"/>
        <w:rPr>
          <w:bCs/>
        </w:rPr>
      </w:pPr>
      <w:r w:rsidRPr="00CE0544">
        <w:rPr>
          <w:bCs/>
        </w:rPr>
        <w:t xml:space="preserve">Mapování </w:t>
      </w:r>
      <w:r>
        <w:rPr>
          <w:bCs/>
        </w:rPr>
        <w:t>min.</w:t>
      </w:r>
      <w:r w:rsidRPr="00CE0544">
        <w:rPr>
          <w:bCs/>
        </w:rPr>
        <w:t xml:space="preserve"> 15 vytipovaných turistických cílů v Olomouckém kraji z hlediska bezbariérovosti. Mapování bude provedeno místním šetřením za účasti vozíčkářů a bude v souladu s doporučenou Metodik</w:t>
      </w:r>
      <w:r w:rsidR="008E462E">
        <w:rPr>
          <w:bCs/>
        </w:rPr>
        <w:t>ou</w:t>
      </w:r>
      <w:r w:rsidRPr="00CE0544">
        <w:rPr>
          <w:bCs/>
        </w:rPr>
        <w:t xml:space="preserve"> přístupnosti Pražské organizace vozíčkářů a Pracovní skupiny pro jednotnou metodiku mapování přístupnosti staveb. </w:t>
      </w:r>
    </w:p>
    <w:p w14:paraId="579A5F93" w14:textId="5891F2D7" w:rsidR="00D817AD" w:rsidRPr="007C52F1" w:rsidRDefault="00D817AD" w:rsidP="00983509">
      <w:pPr>
        <w:pStyle w:val="Zkladntextodsazen"/>
        <w:tabs>
          <w:tab w:val="left" w:pos="426"/>
        </w:tabs>
        <w:spacing w:before="240" w:after="120"/>
        <w:ind w:left="0"/>
        <w:jc w:val="both"/>
        <w:rPr>
          <w:bCs/>
        </w:rPr>
      </w:pPr>
      <w:r w:rsidRPr="00CE0544">
        <w:rPr>
          <w:bCs/>
        </w:rPr>
        <w:t>Výstupem bude zpracování pasportů/popisů pro min.15 cílů, které budou zahrnovat rovněž technická doporučení k odstranění bariér, a které budou předány turistickým cílům.</w:t>
      </w:r>
      <w:r>
        <w:rPr>
          <w:bCs/>
        </w:rPr>
        <w:t xml:space="preserve"> Získané informace budou následně uveřejněny na turistickém portálu </w:t>
      </w:r>
      <w:hyperlink r:id="rId8" w:history="1">
        <w:r w:rsidRPr="00753068">
          <w:rPr>
            <w:rStyle w:val="Hypertextovodkaz"/>
            <w:bCs/>
          </w:rPr>
          <w:t>www.ok-tourism.cz</w:t>
        </w:r>
      </w:hyperlink>
      <w:r>
        <w:rPr>
          <w:bCs/>
        </w:rPr>
        <w:t xml:space="preserve"> a rovněž budou publikovány formou propagačního letáku – viz aktivita č. 6.</w:t>
      </w:r>
    </w:p>
    <w:p w14:paraId="25F8F296" w14:textId="4C696CE0" w:rsidR="00A25CEA" w:rsidRPr="005D7B55" w:rsidRDefault="00A25CEA" w:rsidP="00A25CEA">
      <w:pPr>
        <w:pStyle w:val="Zkladntextodsazen"/>
        <w:numPr>
          <w:ilvl w:val="3"/>
          <w:numId w:val="6"/>
        </w:numPr>
        <w:tabs>
          <w:tab w:val="left" w:pos="426"/>
        </w:tabs>
        <w:spacing w:before="240" w:after="120"/>
        <w:ind w:left="425" w:hanging="425"/>
        <w:jc w:val="both"/>
        <w:rPr>
          <w:b/>
        </w:rPr>
      </w:pPr>
      <w:r>
        <w:rPr>
          <w:b/>
        </w:rPr>
        <w:t>Dotazníkové šetření</w:t>
      </w:r>
      <w:r w:rsidRPr="005D7B55">
        <w:rPr>
          <w:b/>
        </w:rPr>
        <w:t xml:space="preserve">, cca </w:t>
      </w:r>
      <w:r>
        <w:rPr>
          <w:b/>
        </w:rPr>
        <w:t xml:space="preserve">500 </w:t>
      </w:r>
      <w:r w:rsidRPr="005D7B55">
        <w:rPr>
          <w:b/>
        </w:rPr>
        <w:t>tis. Kč bez DPH</w:t>
      </w:r>
      <w:r w:rsidR="00923950">
        <w:rPr>
          <w:b/>
        </w:rPr>
        <w:t xml:space="preserve"> </w:t>
      </w:r>
    </w:p>
    <w:p w14:paraId="0FEF586A" w14:textId="721E02AF" w:rsidR="00192D17" w:rsidRDefault="00192D17" w:rsidP="00192D17">
      <w:pPr>
        <w:pStyle w:val="Zkladntextodsazen"/>
        <w:tabs>
          <w:tab w:val="left" w:pos="426"/>
        </w:tabs>
        <w:spacing w:before="240" w:after="120"/>
        <w:ind w:left="0"/>
        <w:jc w:val="both"/>
      </w:pPr>
      <w:r>
        <w:t>P</w:t>
      </w:r>
      <w:r w:rsidRPr="005C76DB">
        <w:t>rovedení marketingového výzkumu zaměřeného na získání zpětné vazby od zahraničních i tuzemských návštěvníků Olomouckého kraje</w:t>
      </w:r>
      <w:r>
        <w:t>. Bude probíhat</w:t>
      </w:r>
      <w:r w:rsidRPr="005C76DB">
        <w:t xml:space="preserve"> plošn</w:t>
      </w:r>
      <w:r>
        <w:t>ým</w:t>
      </w:r>
      <w:r w:rsidRPr="005C76DB">
        <w:t xml:space="preserve"> dotazníkov</w:t>
      </w:r>
      <w:r w:rsidR="008E462E">
        <w:t>ým</w:t>
      </w:r>
      <w:r w:rsidRPr="005C76DB">
        <w:t xml:space="preserve"> šetření</w:t>
      </w:r>
      <w:r>
        <w:t xml:space="preserve">m </w:t>
      </w:r>
      <w:r w:rsidRPr="005C76DB">
        <w:t>návštěvníků Olomouckého kraje</w:t>
      </w:r>
      <w:r w:rsidR="00F51A4D">
        <w:t xml:space="preserve"> ve 3 vlnách</w:t>
      </w:r>
      <w:r>
        <w:t>, které bud</w:t>
      </w:r>
      <w:r w:rsidR="008E462E">
        <w:t>ou</w:t>
      </w:r>
      <w:r>
        <w:t xml:space="preserve"> mít </w:t>
      </w:r>
      <w:r w:rsidRPr="005C76DB">
        <w:t>standardizova</w:t>
      </w:r>
      <w:r>
        <w:t xml:space="preserve">nou formu, a </w:t>
      </w:r>
      <w:r w:rsidRPr="005C76DB">
        <w:t xml:space="preserve">dále pak </w:t>
      </w:r>
      <w:r>
        <w:t xml:space="preserve">bude provedena </w:t>
      </w:r>
      <w:r w:rsidRPr="005C76DB">
        <w:t>analýza faktorů, které charakterizují strukturu a názory respondentů dotýkající se cestovního ruchu v Olomouckém kraji.</w:t>
      </w:r>
    </w:p>
    <w:p w14:paraId="2232BFA8" w14:textId="41CBA057" w:rsidR="00192D17" w:rsidRDefault="00192D17" w:rsidP="00A25CEA">
      <w:pPr>
        <w:pStyle w:val="Zkladntextodsazen"/>
        <w:tabs>
          <w:tab w:val="left" w:pos="426"/>
        </w:tabs>
        <w:spacing w:before="240" w:after="120"/>
        <w:ind w:left="0"/>
        <w:jc w:val="both"/>
      </w:pPr>
      <w:r>
        <w:t xml:space="preserve">Pravidelné dotazníkové šetření je nástrojem pro efektivní řízení </w:t>
      </w:r>
      <w:r w:rsidR="008E462E">
        <w:t>destinace</w:t>
      </w:r>
      <w:r>
        <w:t xml:space="preserve">, kdy lze díky vzájemně srovnatelným sadám dotazů a odpovědí sledovat </w:t>
      </w:r>
      <w:r w:rsidR="008E462E">
        <w:t xml:space="preserve">její </w:t>
      </w:r>
      <w:r>
        <w:t>vývoj.</w:t>
      </w:r>
    </w:p>
    <w:p w14:paraId="26FDDB5B" w14:textId="03829E4D" w:rsidR="00923950" w:rsidRDefault="00DC5F03" w:rsidP="00923950">
      <w:pPr>
        <w:pStyle w:val="Zkladntextodsazen"/>
        <w:numPr>
          <w:ilvl w:val="3"/>
          <w:numId w:val="6"/>
        </w:numPr>
        <w:tabs>
          <w:tab w:val="left" w:pos="426"/>
        </w:tabs>
        <w:spacing w:before="240" w:after="120"/>
        <w:ind w:left="425" w:hanging="425"/>
        <w:jc w:val="both"/>
        <w:rPr>
          <w:b/>
        </w:rPr>
      </w:pPr>
      <w:r>
        <w:rPr>
          <w:b/>
        </w:rPr>
        <w:t>Rozšíření fotobanky</w:t>
      </w:r>
      <w:r w:rsidR="00923950" w:rsidRPr="00113BA7">
        <w:rPr>
          <w:b/>
        </w:rPr>
        <w:t xml:space="preserve">, cca </w:t>
      </w:r>
      <w:r w:rsidR="00DC1139">
        <w:rPr>
          <w:b/>
        </w:rPr>
        <w:t>99</w:t>
      </w:r>
      <w:r w:rsidR="006A01EA">
        <w:rPr>
          <w:b/>
        </w:rPr>
        <w:t>,5</w:t>
      </w:r>
      <w:r w:rsidR="00923950" w:rsidRPr="00113BA7">
        <w:rPr>
          <w:b/>
        </w:rPr>
        <w:t xml:space="preserve"> tis. Kč bez DP</w:t>
      </w:r>
      <w:r w:rsidR="00923950">
        <w:rPr>
          <w:b/>
        </w:rPr>
        <w:t>H</w:t>
      </w:r>
      <w:r w:rsidR="00EC24B2">
        <w:rPr>
          <w:b/>
        </w:rPr>
        <w:t xml:space="preserve"> </w:t>
      </w:r>
    </w:p>
    <w:p w14:paraId="135435FD" w14:textId="0459F8F3" w:rsidR="00891A90" w:rsidRDefault="00891A90" w:rsidP="00923950">
      <w:pPr>
        <w:pStyle w:val="Zkladntextodsazen"/>
        <w:tabs>
          <w:tab w:val="left" w:pos="426"/>
        </w:tabs>
        <w:spacing w:before="120" w:after="120"/>
        <w:ind w:left="0"/>
        <w:jc w:val="both"/>
      </w:pPr>
      <w:r w:rsidRPr="00923950">
        <w:t>V rámci aktivity dojde k nákupu cca 100 ks nových fotografií pro sezónní nabídky</w:t>
      </w:r>
      <w:r>
        <w:t xml:space="preserve"> (zpracovány </w:t>
      </w:r>
      <w:r>
        <w:rPr>
          <w:bCs/>
        </w:rPr>
        <w:t xml:space="preserve">na turistickém portálu </w:t>
      </w:r>
      <w:hyperlink r:id="rId9" w:history="1">
        <w:r w:rsidRPr="00753068">
          <w:rPr>
            <w:rStyle w:val="Hypertextovodkaz"/>
            <w:bCs/>
          </w:rPr>
          <w:t>www.ok-tourism.cz</w:t>
        </w:r>
      </w:hyperlink>
      <w:r>
        <w:rPr>
          <w:bCs/>
        </w:rPr>
        <w:t xml:space="preserve">) </w:t>
      </w:r>
      <w:r w:rsidRPr="00923950">
        <w:t>a pro bezbariérové cíle. Fotografie pro sezónní nabídky budou imageové a budou využity primárně na turistickém portále. Fotografie pro bezbariérové cíle boudou primárně využity</w:t>
      </w:r>
      <w:r>
        <w:t xml:space="preserve"> v letáku  (aktivita č. 6) a rovněž na turistickém portále.</w:t>
      </w:r>
    </w:p>
    <w:p w14:paraId="0AB0420B" w14:textId="26E26994" w:rsidR="00E11590" w:rsidRDefault="00E11590" w:rsidP="00923950">
      <w:pPr>
        <w:pStyle w:val="Zkladntextodsazen"/>
        <w:tabs>
          <w:tab w:val="left" w:pos="426"/>
        </w:tabs>
        <w:spacing w:before="120" w:after="120"/>
        <w:ind w:left="0"/>
        <w:jc w:val="both"/>
      </w:pPr>
    </w:p>
    <w:p w14:paraId="56F9147A" w14:textId="77777777" w:rsidR="00E11590" w:rsidRPr="003E0A24" w:rsidRDefault="00E11590" w:rsidP="00923950">
      <w:pPr>
        <w:pStyle w:val="Zkladntextodsazen"/>
        <w:tabs>
          <w:tab w:val="left" w:pos="426"/>
        </w:tabs>
        <w:spacing w:before="120" w:after="120"/>
        <w:ind w:left="0"/>
        <w:jc w:val="both"/>
      </w:pPr>
    </w:p>
    <w:p w14:paraId="06FEFCDE" w14:textId="2C9371A0" w:rsidR="00391A5E" w:rsidRDefault="008933A3" w:rsidP="00DB64B0">
      <w:pPr>
        <w:pStyle w:val="Zkladntextodsazen"/>
        <w:numPr>
          <w:ilvl w:val="3"/>
          <w:numId w:val="6"/>
        </w:numPr>
        <w:tabs>
          <w:tab w:val="left" w:pos="426"/>
        </w:tabs>
        <w:spacing w:before="240" w:after="120"/>
        <w:ind w:left="425" w:hanging="425"/>
        <w:jc w:val="both"/>
        <w:rPr>
          <w:b/>
        </w:rPr>
      </w:pPr>
      <w:r>
        <w:rPr>
          <w:b/>
        </w:rPr>
        <w:lastRenderedPageBreak/>
        <w:t>Propagační leták bezbariérových cílů, cca 5</w:t>
      </w:r>
      <w:r w:rsidR="006A01EA">
        <w:rPr>
          <w:b/>
        </w:rPr>
        <w:t>7</w:t>
      </w:r>
      <w:r>
        <w:rPr>
          <w:b/>
        </w:rPr>
        <w:t xml:space="preserve"> </w:t>
      </w:r>
      <w:r w:rsidRPr="005D7B55">
        <w:rPr>
          <w:b/>
        </w:rPr>
        <w:t>tis. Kč bez DPH</w:t>
      </w:r>
    </w:p>
    <w:p w14:paraId="52451F27" w14:textId="3BD2F249" w:rsidR="00DE2CCF" w:rsidRPr="00DE2CCF" w:rsidRDefault="00DE2CCF" w:rsidP="00DE2CCF">
      <w:pPr>
        <w:pStyle w:val="Zkladntextodsazen"/>
        <w:tabs>
          <w:tab w:val="left" w:pos="426"/>
        </w:tabs>
        <w:spacing w:before="120" w:after="120"/>
        <w:ind w:left="0"/>
        <w:jc w:val="both"/>
      </w:pPr>
      <w:r w:rsidRPr="00DE2CCF">
        <w:t>Propagační l</w:t>
      </w:r>
      <w:r w:rsidR="00D55DD3" w:rsidRPr="00DE2CCF">
        <w:t xml:space="preserve">eták </w:t>
      </w:r>
      <w:r w:rsidRPr="00DE2CCF">
        <w:t xml:space="preserve">prezentující </w:t>
      </w:r>
      <w:r w:rsidR="00A4374A" w:rsidRPr="00DE2CCF">
        <w:t>min.</w:t>
      </w:r>
      <w:r w:rsidR="00D55DD3" w:rsidRPr="00DE2CCF">
        <w:t xml:space="preserve"> 15 bezbariérových turistických cílů</w:t>
      </w:r>
      <w:r w:rsidR="00033209" w:rsidRPr="00DE2CCF">
        <w:t>, k</w:t>
      </w:r>
      <w:r w:rsidR="00D55DD3" w:rsidRPr="00DE2CCF">
        <w:t xml:space="preserve">terý bude </w:t>
      </w:r>
      <w:r w:rsidR="00A4374A" w:rsidRPr="00DE2CCF">
        <w:t xml:space="preserve">prezentovat </w:t>
      </w:r>
      <w:r w:rsidR="00553CCB" w:rsidRPr="00DE2CCF">
        <w:t xml:space="preserve">validní a </w:t>
      </w:r>
      <w:r w:rsidR="00033209" w:rsidRPr="00DE2CCF">
        <w:t>prověřené informace</w:t>
      </w:r>
      <w:r w:rsidR="004D38B0" w:rsidRPr="00DE2CCF">
        <w:t xml:space="preserve"> získané v rámci mapování bezbariérových cílů (ak</w:t>
      </w:r>
      <w:r w:rsidR="00A4374A" w:rsidRPr="00DE2CCF">
        <w:t xml:space="preserve">tivita č. 3). </w:t>
      </w:r>
      <w:r w:rsidR="00F07FA1" w:rsidRPr="00DE2CCF">
        <w:t>leták bud vydán v počtu 3 tis</w:t>
      </w:r>
      <w:r w:rsidRPr="00DE2CCF">
        <w:t>.</w:t>
      </w:r>
      <w:r w:rsidR="00F07FA1" w:rsidRPr="00DE2CCF">
        <w:t xml:space="preserve"> </w:t>
      </w:r>
      <w:r w:rsidR="008E462E">
        <w:t>k</w:t>
      </w:r>
      <w:r w:rsidR="00F07FA1" w:rsidRPr="00DE2CCF">
        <w:t>s</w:t>
      </w:r>
      <w:r w:rsidRPr="00DE2CCF">
        <w:t xml:space="preserve"> v ČJ jazykové mutaci, předpokládaný formát A5.</w:t>
      </w:r>
    </w:p>
    <w:p w14:paraId="56D3C53E" w14:textId="59DFD863" w:rsidR="00033209" w:rsidRPr="00DE2CCF" w:rsidRDefault="00D85B75" w:rsidP="00DE2CCF">
      <w:pPr>
        <w:pStyle w:val="Zkladntextodsazen"/>
        <w:tabs>
          <w:tab w:val="left" w:pos="426"/>
        </w:tabs>
        <w:spacing w:before="120" w:after="120"/>
        <w:ind w:left="0"/>
        <w:jc w:val="both"/>
      </w:pPr>
      <w:r w:rsidRPr="00DE2CCF">
        <w:t>Leták bude určen</w:t>
      </w:r>
      <w:r w:rsidR="00033209" w:rsidRPr="00DE2CCF">
        <w:t xml:space="preserve"> pro prezentaci na </w:t>
      </w:r>
      <w:r w:rsidR="00F51A4D">
        <w:t xml:space="preserve">vytipovaných místech pro určenou </w:t>
      </w:r>
      <w:r w:rsidR="00283E81">
        <w:t>cílovou</w:t>
      </w:r>
      <w:r w:rsidR="00F51A4D">
        <w:t xml:space="preserve"> skupinu (asistenční centra, </w:t>
      </w:r>
      <w:r w:rsidR="00283E81">
        <w:t>apod.</w:t>
      </w:r>
      <w:r w:rsidR="00F51A4D">
        <w:t xml:space="preserve">), ale také na </w:t>
      </w:r>
      <w:r w:rsidR="00033209" w:rsidRPr="00DE2CCF">
        <w:t xml:space="preserve">veletrzích cestovního ruchu, tj. </w:t>
      </w:r>
      <w:r w:rsidR="00F07FA1" w:rsidRPr="00DE2CCF">
        <w:t xml:space="preserve">bude </w:t>
      </w:r>
      <w:r w:rsidR="00033209" w:rsidRPr="00DE2CCF">
        <w:t>zaměřen na potenciální návštěvníky kraje. Dalším místem distribuce budou TIC, tj. distribuční kanál zaměřený na návštěvníky, kteří se již pohybují v kraji.</w:t>
      </w:r>
    </w:p>
    <w:p w14:paraId="5F25F188" w14:textId="34046FD7" w:rsidR="00DB64B0" w:rsidRPr="004F4B35" w:rsidRDefault="00DB64B0" w:rsidP="004F4B35">
      <w:pPr>
        <w:pStyle w:val="Zkladntextodsazen"/>
        <w:numPr>
          <w:ilvl w:val="3"/>
          <w:numId w:val="6"/>
        </w:numPr>
        <w:tabs>
          <w:tab w:val="left" w:pos="426"/>
        </w:tabs>
        <w:spacing w:before="240" w:after="120"/>
        <w:ind w:left="425" w:hanging="425"/>
        <w:jc w:val="both"/>
        <w:rPr>
          <w:b/>
        </w:rPr>
      </w:pPr>
      <w:r>
        <w:rPr>
          <w:b/>
        </w:rPr>
        <w:t xml:space="preserve">Mobilní aplikace zaniklých a filmových míst, </w:t>
      </w:r>
      <w:r w:rsidRPr="00C12ADC">
        <w:rPr>
          <w:b/>
        </w:rPr>
        <w:t xml:space="preserve">cca </w:t>
      </w:r>
      <w:r w:rsidR="004F4B35">
        <w:rPr>
          <w:b/>
        </w:rPr>
        <w:t>980</w:t>
      </w:r>
      <w:r w:rsidRPr="00C12ADC">
        <w:rPr>
          <w:b/>
        </w:rPr>
        <w:t xml:space="preserve"> tis. Kč </w:t>
      </w:r>
      <w:r>
        <w:rPr>
          <w:b/>
        </w:rPr>
        <w:t>bez</w:t>
      </w:r>
      <w:r w:rsidRPr="00C12ADC">
        <w:rPr>
          <w:b/>
        </w:rPr>
        <w:t xml:space="preserve"> DPH</w:t>
      </w:r>
    </w:p>
    <w:p w14:paraId="51615569" w14:textId="183B9551" w:rsidR="00261748" w:rsidRDefault="00261748" w:rsidP="00261748">
      <w:pPr>
        <w:pStyle w:val="Zkladntextodsazen"/>
        <w:tabs>
          <w:tab w:val="left" w:pos="426"/>
        </w:tabs>
        <w:spacing w:before="120" w:after="120"/>
        <w:ind w:left="0"/>
        <w:jc w:val="both"/>
      </w:pPr>
      <w:r w:rsidRPr="00E50292">
        <w:t>Aplikace bude prezent</w:t>
      </w:r>
      <w:r>
        <w:t>ovat</w:t>
      </w:r>
      <w:r w:rsidRPr="00E50292">
        <w:t xml:space="preserve"> zanikl</w:t>
      </w:r>
      <w:r>
        <w:t>á a filmová</w:t>
      </w:r>
      <w:r w:rsidRPr="00E50292">
        <w:t xml:space="preserve"> míst</w:t>
      </w:r>
      <w:r>
        <w:t>a v Olomouckém kraji</w:t>
      </w:r>
      <w:r w:rsidR="00836D51">
        <w:t>,</w:t>
      </w:r>
      <w:r>
        <w:t xml:space="preserve"> a to prostřednictvím 3D a 2D modelů, případně kreslených filmů (zaniklá místa) a propojením </w:t>
      </w:r>
      <w:r w:rsidR="008E462E">
        <w:t xml:space="preserve">tzv. </w:t>
      </w:r>
      <w:r>
        <w:t xml:space="preserve">unikátního filmového políčka s konkrétním místem (filmová místa). Součástí </w:t>
      </w:r>
      <w:r w:rsidRPr="00E50292">
        <w:t>bude informační</w:t>
      </w:r>
      <w:r>
        <w:t xml:space="preserve"> vrstva</w:t>
      </w:r>
      <w:r w:rsidRPr="00E50292">
        <w:t xml:space="preserve">, která bude nabízet informace o významných turistických cílech </w:t>
      </w:r>
      <w:r>
        <w:t xml:space="preserve">Olomouckého </w:t>
      </w:r>
      <w:r w:rsidRPr="00E50292">
        <w:t xml:space="preserve">kraje a službách. </w:t>
      </w:r>
      <w:r w:rsidRPr="00AD5BE9">
        <w:t>Aplikace bude aktivně využívat GPS lokaci pro spouštění určitých prvků a načítání informací o turistické nabídce v okolí</w:t>
      </w:r>
      <w:r>
        <w:t xml:space="preserve">. Součástí aplikace budou </w:t>
      </w:r>
      <w:r w:rsidR="0044280A">
        <w:t>také</w:t>
      </w:r>
      <w:r>
        <w:t xml:space="preserve"> herní prvky (pexesa, kvízy, puzzle, apod.), které budou posilovat edukativní dopad. </w:t>
      </w:r>
      <w:r w:rsidR="005047D9">
        <w:t>So</w:t>
      </w:r>
      <w:r w:rsidR="008B13E8">
        <w:t>u</w:t>
      </w:r>
      <w:r w:rsidR="005047D9">
        <w:t xml:space="preserve">částí aplikace budou rovněž audio záznamy. </w:t>
      </w:r>
      <w:r w:rsidRPr="00E50292">
        <w:t>Aplikace bude v ČJ.</w:t>
      </w:r>
      <w:r>
        <w:t xml:space="preserve"> </w:t>
      </w:r>
    </w:p>
    <w:p w14:paraId="39DF94EF" w14:textId="4592426D" w:rsidR="00261748" w:rsidRPr="00DB64B0" w:rsidRDefault="00261748" w:rsidP="00DB64B0">
      <w:pPr>
        <w:pStyle w:val="Zkladntextodsazen"/>
        <w:tabs>
          <w:tab w:val="left" w:pos="426"/>
        </w:tabs>
        <w:spacing w:before="120" w:after="120"/>
        <w:ind w:left="0"/>
        <w:jc w:val="both"/>
      </w:pPr>
      <w:r>
        <w:t>Smyslem aplikace je představit méně známá místa, která zatím nejsou příliš navštěvovaná, ale mají skrytý potenciál, což přispěje k rovnoměrnějšímu rozptylu návštěvníků v kraji.</w:t>
      </w:r>
    </w:p>
    <w:p w14:paraId="0EE2F8CD" w14:textId="297EE820" w:rsidR="000A63ED" w:rsidRPr="004F4B35" w:rsidRDefault="007249D6" w:rsidP="004F4B35">
      <w:pPr>
        <w:pStyle w:val="Zkladntextodsazen"/>
        <w:numPr>
          <w:ilvl w:val="3"/>
          <w:numId w:val="6"/>
        </w:numPr>
        <w:tabs>
          <w:tab w:val="left" w:pos="426"/>
        </w:tabs>
        <w:spacing w:before="240" w:after="120"/>
        <w:ind w:left="425" w:hanging="425"/>
        <w:jc w:val="both"/>
        <w:rPr>
          <w:b/>
        </w:rPr>
      </w:pPr>
      <w:r w:rsidRPr="007249D6">
        <w:rPr>
          <w:b/>
        </w:rPr>
        <w:t>On-line kampaň</w:t>
      </w:r>
      <w:r w:rsidR="000A63ED" w:rsidRPr="00C12ADC">
        <w:rPr>
          <w:b/>
        </w:rPr>
        <w:t>, cca</w:t>
      </w:r>
      <w:r w:rsidR="00C45FDC">
        <w:rPr>
          <w:b/>
        </w:rPr>
        <w:t xml:space="preserve"> 1 </w:t>
      </w:r>
      <w:r w:rsidR="00CC1E0F">
        <w:rPr>
          <w:b/>
        </w:rPr>
        <w:t>5</w:t>
      </w:r>
      <w:r w:rsidR="00D641C4">
        <w:rPr>
          <w:b/>
        </w:rPr>
        <w:t>0</w:t>
      </w:r>
      <w:r w:rsidR="000A63ED" w:rsidRPr="00C12ADC">
        <w:rPr>
          <w:b/>
        </w:rPr>
        <w:t xml:space="preserve">0 tis. Kč </w:t>
      </w:r>
      <w:r w:rsidR="00A11009">
        <w:rPr>
          <w:b/>
        </w:rPr>
        <w:t>bez</w:t>
      </w:r>
      <w:r w:rsidR="000A63ED" w:rsidRPr="00C12ADC">
        <w:rPr>
          <w:b/>
        </w:rPr>
        <w:t xml:space="preserve"> DPH</w:t>
      </w:r>
    </w:p>
    <w:p w14:paraId="031716E6" w14:textId="049BE7D9" w:rsidR="00E76B5F" w:rsidRDefault="00E76B5F" w:rsidP="00E76B5F">
      <w:pPr>
        <w:pStyle w:val="Zkladntextodsazen"/>
        <w:tabs>
          <w:tab w:val="left" w:pos="426"/>
        </w:tabs>
        <w:spacing w:before="120" w:after="120"/>
        <w:ind w:left="0"/>
        <w:jc w:val="both"/>
      </w:pPr>
      <w:r>
        <w:t xml:space="preserve">On-line kampaň bude pobíhat formou bannerové a PPC reklamy, které budou zacíleny na uživatele internetu. Kampaň bude reflektovat tematické portfolio kraje i obou turistických oblastí (Střední Morava a Jeseníky) které bude primárně prezentované přes sezónní a mimosezónní nabídky a směřovat bude na turistický portál </w:t>
      </w:r>
      <w:hyperlink r:id="rId10" w:history="1">
        <w:r w:rsidRPr="00C27317">
          <w:rPr>
            <w:rStyle w:val="Hypertextovodkaz"/>
          </w:rPr>
          <w:t>www.ok-touris</w:t>
        </w:r>
        <w:r w:rsidR="008E462E">
          <w:rPr>
            <w:rStyle w:val="Hypertextovodkaz"/>
          </w:rPr>
          <w:t>m</w:t>
        </w:r>
        <w:r w:rsidRPr="00C27317">
          <w:rPr>
            <w:rStyle w:val="Hypertextovodkaz"/>
          </w:rPr>
          <w:t>.cz</w:t>
        </w:r>
      </w:hyperlink>
      <w:r>
        <w:t xml:space="preserve">, kde tyto nabídky budou uveřejněny. Kampaně budou probíhat v 6 etapách a to na podporu letní a podzimní sezóny v roce 2024, zimní sezony 2024/25 a jarní, letní a podzimní sezony v roce 2025. </w:t>
      </w:r>
    </w:p>
    <w:p w14:paraId="27D63791" w14:textId="77777777" w:rsidR="00E76B5F" w:rsidRPr="00F5750D" w:rsidRDefault="00E76B5F" w:rsidP="00E76B5F">
      <w:pPr>
        <w:pStyle w:val="Zkladntextodsazen"/>
        <w:tabs>
          <w:tab w:val="left" w:pos="426"/>
        </w:tabs>
        <w:spacing w:before="120" w:after="120"/>
        <w:ind w:left="0"/>
        <w:jc w:val="both"/>
      </w:pPr>
      <w:r>
        <w:t>Cílem on-line kampaně je významně podpořit i mimosezonní nabídku a zmenšit sezónní výkyvy v návštěvnosti.</w:t>
      </w:r>
    </w:p>
    <w:p w14:paraId="3A73AF41" w14:textId="77777777" w:rsidR="00E76B5F" w:rsidRPr="00F5750D" w:rsidRDefault="00E76B5F" w:rsidP="00F5750D">
      <w:pPr>
        <w:pStyle w:val="Zkladntextodsazen"/>
        <w:tabs>
          <w:tab w:val="left" w:pos="426"/>
        </w:tabs>
        <w:spacing w:before="120" w:after="120"/>
        <w:ind w:left="0"/>
        <w:jc w:val="both"/>
      </w:pPr>
    </w:p>
    <w:p w14:paraId="4C2F6478" w14:textId="7F67A88B" w:rsidR="0081263D" w:rsidRDefault="0081263D" w:rsidP="00121465">
      <w:pPr>
        <w:tabs>
          <w:tab w:val="right" w:pos="9072"/>
        </w:tabs>
        <w:spacing w:before="360"/>
        <w:jc w:val="both"/>
        <w:rPr>
          <w:rFonts w:ascii="Arial" w:hAnsi="Arial" w:cs="Arial"/>
          <w:b/>
        </w:rPr>
      </w:pPr>
      <w:r w:rsidRPr="00F064F5">
        <w:rPr>
          <w:rFonts w:ascii="Arial" w:hAnsi="Arial" w:cs="Arial"/>
          <w:b/>
        </w:rPr>
        <w:t>Předpokládaný termín realizace projektu:</w:t>
      </w:r>
      <w:r w:rsidR="004B0234" w:rsidRPr="00F064F5">
        <w:rPr>
          <w:rFonts w:ascii="Arial" w:hAnsi="Arial" w:cs="Arial"/>
          <w:b/>
        </w:rPr>
        <w:tab/>
      </w:r>
      <w:r w:rsidR="00676500">
        <w:rPr>
          <w:rFonts w:ascii="Arial" w:hAnsi="Arial" w:cs="Arial"/>
          <w:b/>
        </w:rPr>
        <w:t xml:space="preserve">březen </w:t>
      </w:r>
      <w:r w:rsidR="004B0234" w:rsidRPr="00F064F5">
        <w:rPr>
          <w:rFonts w:ascii="Arial" w:hAnsi="Arial" w:cs="Arial"/>
          <w:b/>
        </w:rPr>
        <w:t>20</w:t>
      </w:r>
      <w:r w:rsidR="00333495">
        <w:rPr>
          <w:rFonts w:ascii="Arial" w:hAnsi="Arial" w:cs="Arial"/>
          <w:b/>
        </w:rPr>
        <w:t>2</w:t>
      </w:r>
      <w:r w:rsidR="003B235B">
        <w:rPr>
          <w:rFonts w:ascii="Arial" w:hAnsi="Arial" w:cs="Arial"/>
          <w:b/>
        </w:rPr>
        <w:t>4</w:t>
      </w:r>
      <w:r w:rsidR="00676500">
        <w:rPr>
          <w:rFonts w:ascii="Arial" w:hAnsi="Arial" w:cs="Arial"/>
          <w:b/>
        </w:rPr>
        <w:t xml:space="preserve"> </w:t>
      </w:r>
      <w:r w:rsidRPr="00F064F5">
        <w:rPr>
          <w:rFonts w:ascii="Arial" w:hAnsi="Arial" w:cs="Arial"/>
          <w:b/>
        </w:rPr>
        <w:t xml:space="preserve">– </w:t>
      </w:r>
      <w:r w:rsidR="00676500">
        <w:rPr>
          <w:rFonts w:ascii="Arial" w:hAnsi="Arial" w:cs="Arial"/>
          <w:b/>
        </w:rPr>
        <w:t>listopad</w:t>
      </w:r>
      <w:r w:rsidR="0051464A" w:rsidRPr="00F064F5">
        <w:rPr>
          <w:rFonts w:ascii="Arial" w:hAnsi="Arial" w:cs="Arial"/>
          <w:b/>
        </w:rPr>
        <w:t xml:space="preserve"> 202</w:t>
      </w:r>
      <w:r w:rsidR="003B235B">
        <w:rPr>
          <w:rFonts w:ascii="Arial" w:hAnsi="Arial" w:cs="Arial"/>
          <w:b/>
        </w:rPr>
        <w:t>5</w:t>
      </w:r>
    </w:p>
    <w:p w14:paraId="4EAF64A0" w14:textId="4A3E8549" w:rsidR="006950D7" w:rsidRDefault="006950D7" w:rsidP="006950D7">
      <w:pPr>
        <w:tabs>
          <w:tab w:val="right" w:pos="9072"/>
        </w:tabs>
        <w:spacing w:before="240"/>
        <w:jc w:val="both"/>
        <w:rPr>
          <w:rFonts w:ascii="Arial" w:hAnsi="Arial" w:cs="Arial"/>
          <w:b/>
        </w:rPr>
      </w:pPr>
      <w:r w:rsidRPr="00F064F5">
        <w:rPr>
          <w:rFonts w:ascii="Arial" w:hAnsi="Arial" w:cs="Arial"/>
          <w:b/>
        </w:rPr>
        <w:t>Předpokládané celkové</w:t>
      </w:r>
      <w:r w:rsidR="00995A90">
        <w:rPr>
          <w:rFonts w:ascii="Arial" w:hAnsi="Arial" w:cs="Arial"/>
          <w:b/>
        </w:rPr>
        <w:t xml:space="preserve"> </w:t>
      </w:r>
      <w:r w:rsidRPr="00F064F5">
        <w:rPr>
          <w:rFonts w:ascii="Arial" w:hAnsi="Arial" w:cs="Arial"/>
          <w:b/>
        </w:rPr>
        <w:t>výdaje projektu vč. DPH:</w:t>
      </w:r>
      <w:r w:rsidRPr="00F064F5">
        <w:rPr>
          <w:rFonts w:ascii="Arial" w:hAnsi="Arial" w:cs="Arial"/>
          <w:b/>
        </w:rPr>
        <w:tab/>
      </w:r>
      <w:r w:rsidR="001B7EA1">
        <w:rPr>
          <w:rFonts w:ascii="Arial" w:hAnsi="Arial" w:cs="Arial"/>
          <w:b/>
        </w:rPr>
        <w:t>4</w:t>
      </w:r>
      <w:r w:rsidR="00C075B1">
        <w:rPr>
          <w:rFonts w:ascii="Arial" w:hAnsi="Arial" w:cs="Arial"/>
          <w:b/>
        </w:rPr>
        <w:t> </w:t>
      </w:r>
      <w:r w:rsidR="001B7EA1">
        <w:rPr>
          <w:rFonts w:ascii="Arial" w:hAnsi="Arial" w:cs="Arial"/>
          <w:b/>
        </w:rPr>
        <w:t>385</w:t>
      </w:r>
      <w:r w:rsidR="00C075B1">
        <w:rPr>
          <w:rFonts w:ascii="Arial" w:hAnsi="Arial" w:cs="Arial"/>
          <w:b/>
        </w:rPr>
        <w:t xml:space="preserve"> 040</w:t>
      </w:r>
      <w:r w:rsidRPr="00F064F5">
        <w:rPr>
          <w:rFonts w:ascii="Arial" w:hAnsi="Arial" w:cs="Arial"/>
          <w:b/>
        </w:rPr>
        <w:t>,00 Kč</w:t>
      </w:r>
    </w:p>
    <w:p w14:paraId="667B106F" w14:textId="6E0C1165" w:rsidR="00995A90" w:rsidRPr="00F064F5" w:rsidRDefault="00E453AC" w:rsidP="006950D7">
      <w:pPr>
        <w:tabs>
          <w:tab w:val="right" w:pos="9072"/>
        </w:tabs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Neuznatelné výdaje, tj. DPH</w:t>
      </w:r>
      <w:r>
        <w:rPr>
          <w:rFonts w:ascii="Arial" w:hAnsi="Arial" w:cs="Arial"/>
          <w:b/>
        </w:rPr>
        <w:tab/>
      </w:r>
      <w:r w:rsidR="000F72BA">
        <w:rPr>
          <w:rFonts w:ascii="Arial" w:hAnsi="Arial" w:cs="Arial"/>
          <w:b/>
        </w:rPr>
        <w:t>761</w:t>
      </w:r>
      <w:r w:rsidR="007D1723">
        <w:rPr>
          <w:rFonts w:ascii="Arial" w:hAnsi="Arial" w:cs="Arial"/>
          <w:b/>
        </w:rPr>
        <w:t xml:space="preserve"> </w:t>
      </w:r>
      <w:r w:rsidR="000F72BA">
        <w:rPr>
          <w:rFonts w:ascii="Arial" w:hAnsi="Arial" w:cs="Arial"/>
          <w:b/>
        </w:rPr>
        <w:t>04</w:t>
      </w:r>
      <w:r w:rsidR="007D1723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,00</w:t>
      </w:r>
      <w:r w:rsidR="009B0B3F">
        <w:rPr>
          <w:rFonts w:ascii="Arial" w:hAnsi="Arial" w:cs="Arial"/>
          <w:b/>
        </w:rPr>
        <w:t xml:space="preserve"> Kč</w:t>
      </w:r>
    </w:p>
    <w:p w14:paraId="512E2589" w14:textId="42DC2A06" w:rsidR="00C7546B" w:rsidRPr="00C12ADC" w:rsidRDefault="0081263D" w:rsidP="00C12ADC">
      <w:pPr>
        <w:tabs>
          <w:tab w:val="right" w:pos="9072"/>
        </w:tabs>
        <w:spacing w:before="240"/>
        <w:jc w:val="both"/>
        <w:rPr>
          <w:rFonts w:ascii="Arial" w:hAnsi="Arial" w:cs="Arial"/>
          <w:b/>
        </w:rPr>
      </w:pPr>
      <w:r w:rsidRPr="00F064F5">
        <w:rPr>
          <w:rFonts w:ascii="Arial" w:hAnsi="Arial" w:cs="Arial"/>
          <w:b/>
        </w:rPr>
        <w:t xml:space="preserve">Předpokládané celkové </w:t>
      </w:r>
      <w:r w:rsidR="000C416A" w:rsidRPr="00F064F5">
        <w:rPr>
          <w:rFonts w:ascii="Arial" w:hAnsi="Arial" w:cs="Arial"/>
          <w:b/>
        </w:rPr>
        <w:t>uznatelné</w:t>
      </w:r>
      <w:r w:rsidR="00B028AF" w:rsidRPr="00F064F5">
        <w:rPr>
          <w:rFonts w:ascii="Arial" w:hAnsi="Arial" w:cs="Arial"/>
          <w:b/>
        </w:rPr>
        <w:t xml:space="preserve"> </w:t>
      </w:r>
      <w:r w:rsidR="000C416A" w:rsidRPr="00F064F5">
        <w:rPr>
          <w:rFonts w:ascii="Arial" w:hAnsi="Arial" w:cs="Arial"/>
          <w:b/>
        </w:rPr>
        <w:t>výdaje</w:t>
      </w:r>
      <w:r w:rsidRPr="00F064F5">
        <w:rPr>
          <w:rFonts w:ascii="Arial" w:hAnsi="Arial" w:cs="Arial"/>
          <w:b/>
        </w:rPr>
        <w:t xml:space="preserve"> projektu</w:t>
      </w:r>
      <w:r w:rsidR="009B0B3F">
        <w:rPr>
          <w:rFonts w:ascii="Arial" w:hAnsi="Arial" w:cs="Arial"/>
          <w:b/>
        </w:rPr>
        <w:t>, tj.</w:t>
      </w:r>
      <w:r w:rsidRPr="00F064F5">
        <w:rPr>
          <w:rFonts w:ascii="Arial" w:hAnsi="Arial" w:cs="Arial"/>
          <w:b/>
        </w:rPr>
        <w:t xml:space="preserve"> </w:t>
      </w:r>
      <w:r w:rsidR="00995A90">
        <w:rPr>
          <w:rFonts w:ascii="Arial" w:hAnsi="Arial" w:cs="Arial"/>
          <w:b/>
        </w:rPr>
        <w:t>bez</w:t>
      </w:r>
      <w:r w:rsidRPr="00F064F5">
        <w:rPr>
          <w:rFonts w:ascii="Arial" w:hAnsi="Arial" w:cs="Arial"/>
          <w:b/>
        </w:rPr>
        <w:t xml:space="preserve"> DPH:</w:t>
      </w:r>
      <w:r w:rsidRPr="00F064F5">
        <w:rPr>
          <w:rFonts w:ascii="Arial" w:hAnsi="Arial" w:cs="Arial"/>
          <w:b/>
        </w:rPr>
        <w:tab/>
      </w:r>
      <w:r w:rsidR="00C075B1">
        <w:rPr>
          <w:rFonts w:ascii="Arial" w:hAnsi="Arial" w:cs="Arial"/>
          <w:b/>
        </w:rPr>
        <w:t>3 624</w:t>
      </w:r>
      <w:r w:rsidR="007D1723">
        <w:rPr>
          <w:rFonts w:ascii="Arial" w:hAnsi="Arial" w:cs="Arial"/>
          <w:b/>
        </w:rPr>
        <w:t xml:space="preserve"> 000,</w:t>
      </w:r>
      <w:r w:rsidRPr="00F064F5">
        <w:rPr>
          <w:rFonts w:ascii="Arial" w:hAnsi="Arial" w:cs="Arial"/>
          <w:b/>
        </w:rPr>
        <w:t>00 Kč</w:t>
      </w:r>
    </w:p>
    <w:p w14:paraId="7E458E90" w14:textId="7CC97660" w:rsidR="005621C7" w:rsidRDefault="00FD6331" w:rsidP="00FD6331">
      <w:pPr>
        <w:spacing w:before="120" w:after="120"/>
        <w:jc w:val="both"/>
        <w:rPr>
          <w:rFonts w:ascii="Arial" w:hAnsi="Arial" w:cs="Arial"/>
          <w:bCs/>
        </w:rPr>
      </w:pPr>
      <w:r w:rsidRPr="00165D7C">
        <w:rPr>
          <w:rFonts w:ascii="Arial" w:hAnsi="Arial" w:cs="Arial"/>
          <w:bCs/>
        </w:rPr>
        <w:t>Ceny u aktivit jsou uváděny bez DPH, protože CCROK je pl</w:t>
      </w:r>
      <w:r>
        <w:rPr>
          <w:rFonts w:ascii="Arial" w:hAnsi="Arial" w:cs="Arial"/>
          <w:bCs/>
        </w:rPr>
        <w:t>á</w:t>
      </w:r>
      <w:r w:rsidRPr="00165D7C">
        <w:rPr>
          <w:rFonts w:ascii="Arial" w:hAnsi="Arial" w:cs="Arial"/>
          <w:bCs/>
        </w:rPr>
        <w:t xml:space="preserve">tce DPH </w:t>
      </w:r>
      <w:r>
        <w:rPr>
          <w:rFonts w:ascii="Arial" w:hAnsi="Arial" w:cs="Arial"/>
          <w:bCs/>
        </w:rPr>
        <w:t>mající zákonný nárok na odpočet DPH ve vztahu k aktivitám projektu</w:t>
      </w:r>
      <w:r w:rsidRPr="00165D7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</w:t>
      </w:r>
      <w:r w:rsidRPr="00165D7C">
        <w:rPr>
          <w:rFonts w:ascii="Arial" w:hAnsi="Arial" w:cs="Arial"/>
          <w:bCs/>
        </w:rPr>
        <w:t xml:space="preserve"> DPH </w:t>
      </w:r>
      <w:r>
        <w:rPr>
          <w:rFonts w:ascii="Arial" w:hAnsi="Arial" w:cs="Arial"/>
          <w:bCs/>
        </w:rPr>
        <w:t xml:space="preserve">je tudíž </w:t>
      </w:r>
      <w:r w:rsidRPr="00165D7C">
        <w:rPr>
          <w:rFonts w:ascii="Arial" w:hAnsi="Arial" w:cs="Arial"/>
          <w:bCs/>
        </w:rPr>
        <w:t>neuznatelným výdajem</w:t>
      </w:r>
      <w:r>
        <w:rPr>
          <w:rFonts w:ascii="Arial" w:hAnsi="Arial" w:cs="Arial"/>
          <w:bCs/>
        </w:rPr>
        <w:t>.</w:t>
      </w:r>
      <w:r w:rsidRPr="00165D7C">
        <w:rPr>
          <w:rFonts w:ascii="Arial" w:hAnsi="Arial" w:cs="Arial"/>
          <w:bCs/>
        </w:rPr>
        <w:t xml:space="preserve"> </w:t>
      </w:r>
    </w:p>
    <w:p w14:paraId="57CF4AE4" w14:textId="77777777" w:rsidR="00836D51" w:rsidRDefault="00836D51" w:rsidP="00FD6331">
      <w:pPr>
        <w:spacing w:before="120" w:after="120"/>
        <w:jc w:val="both"/>
        <w:rPr>
          <w:rFonts w:ascii="Arial" w:hAnsi="Arial" w:cs="Arial"/>
          <w:bCs/>
        </w:rPr>
      </w:pPr>
    </w:p>
    <w:p w14:paraId="1513F6B7" w14:textId="3860C2F9" w:rsidR="00FD6331" w:rsidRPr="00165D7C" w:rsidRDefault="00FD6331" w:rsidP="00FD6331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V</w:t>
      </w:r>
      <w:r w:rsidRPr="00165D7C">
        <w:rPr>
          <w:rFonts w:ascii="Arial" w:hAnsi="Arial" w:cs="Arial"/>
          <w:bCs/>
        </w:rPr>
        <w:t xml:space="preserve"> žádosti o dotaci mohou být </w:t>
      </w:r>
      <w:r w:rsidR="005621C7">
        <w:rPr>
          <w:rFonts w:ascii="Arial" w:hAnsi="Arial" w:cs="Arial"/>
          <w:bCs/>
        </w:rPr>
        <w:t xml:space="preserve">uvedeny jen </w:t>
      </w:r>
      <w:r w:rsidR="005621C7" w:rsidRPr="00165D7C">
        <w:rPr>
          <w:rFonts w:ascii="Arial" w:hAnsi="Arial" w:cs="Arial"/>
          <w:bCs/>
        </w:rPr>
        <w:t xml:space="preserve">uznatelné </w:t>
      </w:r>
      <w:r w:rsidRPr="00165D7C">
        <w:rPr>
          <w:rFonts w:ascii="Arial" w:hAnsi="Arial" w:cs="Arial"/>
          <w:bCs/>
        </w:rPr>
        <w:t xml:space="preserve">výdaje, tj. bez DPH. </w:t>
      </w:r>
    </w:p>
    <w:p w14:paraId="6E66EC00" w14:textId="77777777" w:rsidR="002E5D28" w:rsidRPr="00F24A6A" w:rsidRDefault="004C6665" w:rsidP="00F24A6A">
      <w:pPr>
        <w:spacing w:before="240" w:after="240"/>
        <w:jc w:val="both"/>
        <w:rPr>
          <w:rFonts w:ascii="Arial" w:hAnsi="Arial" w:cs="Arial"/>
          <w:b/>
        </w:rPr>
      </w:pPr>
      <w:r w:rsidRPr="00F24A6A">
        <w:rPr>
          <w:rFonts w:ascii="Arial" w:hAnsi="Arial" w:cs="Arial"/>
          <w:b/>
        </w:rPr>
        <w:t>Členění celkových nákladů projektu:</w:t>
      </w:r>
    </w:p>
    <w:tbl>
      <w:tblPr>
        <w:tblW w:w="9203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841"/>
        <w:gridCol w:w="1841"/>
        <w:gridCol w:w="1840"/>
        <w:gridCol w:w="1841"/>
      </w:tblGrid>
      <w:tr w:rsidR="009B0B3F" w:rsidRPr="005B05FE" w14:paraId="70496966" w14:textId="06F7F485" w:rsidTr="009B0B3F">
        <w:trPr>
          <w:trHeight w:val="55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A638F7" w14:textId="58AD7E68" w:rsidR="009B0B3F" w:rsidRPr="00B3066D" w:rsidRDefault="009B0B3F" w:rsidP="00994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66D">
              <w:rPr>
                <w:rFonts w:ascii="Arial" w:hAnsi="Arial" w:cs="Arial"/>
                <w:b/>
                <w:bCs/>
                <w:sz w:val="16"/>
                <w:szCs w:val="16"/>
              </w:rPr>
              <w:t>Celkové výdaje</w:t>
            </w:r>
          </w:p>
          <w:p w14:paraId="7D8CA4B1" w14:textId="72C89473" w:rsidR="009B0B3F" w:rsidRPr="00B3066D" w:rsidRDefault="009B0B3F" w:rsidP="00994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66D">
              <w:rPr>
                <w:rFonts w:ascii="Arial" w:hAnsi="Arial" w:cs="Arial"/>
                <w:b/>
                <w:bCs/>
                <w:sz w:val="16"/>
                <w:szCs w:val="16"/>
              </w:rPr>
              <w:t>Vč. DPH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55C57A" w14:textId="77777777" w:rsidR="009B0B3F" w:rsidRPr="00B3066D" w:rsidRDefault="009B0B3F" w:rsidP="00994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66D">
              <w:rPr>
                <w:rFonts w:ascii="Arial" w:hAnsi="Arial" w:cs="Arial"/>
                <w:b/>
                <w:bCs/>
                <w:sz w:val="16"/>
                <w:szCs w:val="16"/>
              </w:rPr>
              <w:t>Neuznatelné výdaje/DPH/</w:t>
            </w:r>
          </w:p>
          <w:p w14:paraId="7CD4CFC2" w14:textId="6385A200" w:rsidR="009B0B3F" w:rsidRPr="00B3066D" w:rsidRDefault="009B0B3F" w:rsidP="00994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66D">
              <w:rPr>
                <w:rFonts w:ascii="Arial" w:hAnsi="Arial" w:cs="Arial"/>
                <w:b/>
                <w:bCs/>
                <w:sz w:val="16"/>
                <w:szCs w:val="16"/>
              </w:rPr>
              <w:t>CCROK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9A951" w14:textId="1855C6B1" w:rsidR="009B0B3F" w:rsidRPr="00B3066D" w:rsidRDefault="009B0B3F" w:rsidP="00994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66D">
              <w:rPr>
                <w:rFonts w:ascii="Arial" w:hAnsi="Arial" w:cs="Arial"/>
                <w:b/>
                <w:bCs/>
                <w:sz w:val="16"/>
                <w:szCs w:val="16"/>
              </w:rPr>
              <w:t>Uznatelné výdaje</w:t>
            </w:r>
          </w:p>
          <w:p w14:paraId="18BF8C56" w14:textId="3C0A544D" w:rsidR="009B0B3F" w:rsidRPr="00B3066D" w:rsidRDefault="009B0B3F" w:rsidP="00994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66D">
              <w:rPr>
                <w:rFonts w:ascii="Arial" w:hAnsi="Arial" w:cs="Arial"/>
                <w:b/>
                <w:bCs/>
                <w:sz w:val="16"/>
                <w:szCs w:val="16"/>
              </w:rPr>
              <w:t>Bez DPH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8628C" w14:textId="77777777" w:rsidR="009B0B3F" w:rsidRPr="00B3066D" w:rsidRDefault="009B0B3F" w:rsidP="00994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6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50 % dotace NPPCRvR</w:t>
            </w:r>
          </w:p>
          <w:p w14:paraId="07776BD4" w14:textId="4FCC566F" w:rsidR="009B0B3F" w:rsidRPr="00B3066D" w:rsidRDefault="009B0B3F" w:rsidP="00994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66D">
              <w:rPr>
                <w:rFonts w:ascii="Arial" w:hAnsi="Arial" w:cs="Arial"/>
                <w:b/>
                <w:bCs/>
                <w:sz w:val="16"/>
                <w:szCs w:val="16"/>
              </w:rPr>
              <w:t>Bez DPH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1A0C2" w14:textId="23A344DB" w:rsidR="009B0B3F" w:rsidRPr="00B3066D" w:rsidRDefault="009B0B3F" w:rsidP="00994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66D">
              <w:rPr>
                <w:rFonts w:ascii="Arial" w:hAnsi="Arial" w:cs="Arial"/>
                <w:b/>
                <w:bCs/>
                <w:sz w:val="16"/>
                <w:szCs w:val="16"/>
              </w:rPr>
              <w:t>50 % spolufin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019A74E2" w14:textId="77777777" w:rsidR="009B0B3F" w:rsidRPr="00B3066D" w:rsidRDefault="009B0B3F" w:rsidP="00994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66D">
              <w:rPr>
                <w:rFonts w:ascii="Arial" w:hAnsi="Arial" w:cs="Arial"/>
                <w:b/>
                <w:bCs/>
                <w:sz w:val="16"/>
                <w:szCs w:val="16"/>
              </w:rPr>
              <w:t>CCROK</w:t>
            </w:r>
          </w:p>
          <w:p w14:paraId="0B705A6B" w14:textId="56FEBEE3" w:rsidR="009B0B3F" w:rsidRPr="00B3066D" w:rsidRDefault="009B0B3F" w:rsidP="00994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66D">
              <w:rPr>
                <w:rFonts w:ascii="Arial" w:hAnsi="Arial" w:cs="Arial"/>
                <w:b/>
                <w:bCs/>
                <w:sz w:val="16"/>
                <w:szCs w:val="16"/>
              </w:rPr>
              <w:t>Bez DPH</w:t>
            </w:r>
          </w:p>
        </w:tc>
      </w:tr>
      <w:tr w:rsidR="009B0B3F" w:rsidRPr="00B3066D" w14:paraId="2D813993" w14:textId="2E4D693B" w:rsidTr="009B0B3F">
        <w:trPr>
          <w:trHeight w:val="60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6677" w14:textId="27A3A37E" w:rsidR="009B0B3F" w:rsidRPr="00B3066D" w:rsidRDefault="000F72BA" w:rsidP="00B3066D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CD538B">
              <w:rPr>
                <w:rFonts w:ascii="Arial" w:hAnsi="Arial" w:cs="Arial"/>
                <w:bCs/>
                <w:sz w:val="18"/>
                <w:szCs w:val="18"/>
              </w:rPr>
              <w:t> 385 040</w:t>
            </w:r>
            <w:r w:rsidR="009B0B3F" w:rsidRPr="00B3066D">
              <w:rPr>
                <w:rFonts w:ascii="Arial" w:hAnsi="Arial" w:cs="Arial"/>
                <w:bCs/>
                <w:sz w:val="18"/>
                <w:szCs w:val="18"/>
              </w:rPr>
              <w:t>,00 Kč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D141" w14:textId="4EEAD993" w:rsidR="009B0B3F" w:rsidRPr="00B3066D" w:rsidRDefault="00CD538B" w:rsidP="00B3066D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761 040</w:t>
            </w:r>
            <w:r w:rsidR="009B0B3F" w:rsidRPr="00B3066D">
              <w:rPr>
                <w:rFonts w:ascii="Arial" w:hAnsi="Arial" w:cs="Arial"/>
                <w:bCs/>
                <w:sz w:val="18"/>
                <w:szCs w:val="18"/>
              </w:rPr>
              <w:t>,00 Kč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98F8" w14:textId="7CCB1C7B" w:rsidR="009B0B3F" w:rsidRPr="00B3066D" w:rsidRDefault="00CD538B" w:rsidP="00B3066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3 624</w:t>
            </w:r>
            <w:r w:rsidR="00F42D5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12D71">
              <w:rPr>
                <w:rFonts w:ascii="Arial" w:hAnsi="Arial" w:cs="Arial"/>
                <w:bCs/>
                <w:sz w:val="18"/>
                <w:szCs w:val="18"/>
              </w:rPr>
              <w:t>000</w:t>
            </w:r>
            <w:r w:rsidR="009B0B3F" w:rsidRPr="00B3066D">
              <w:rPr>
                <w:rFonts w:ascii="Arial" w:hAnsi="Arial" w:cs="Arial"/>
                <w:bCs/>
                <w:sz w:val="18"/>
                <w:szCs w:val="18"/>
              </w:rPr>
              <w:t>,00 Kč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3DF5" w14:textId="17BCD675" w:rsidR="009B0B3F" w:rsidRPr="00B3066D" w:rsidRDefault="00612D71" w:rsidP="00B3066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62A35">
              <w:rPr>
                <w:rFonts w:ascii="Arial" w:hAnsi="Arial" w:cs="Arial"/>
                <w:sz w:val="18"/>
                <w:szCs w:val="18"/>
              </w:rPr>
              <w:t> </w:t>
            </w:r>
            <w:r w:rsidR="00CD538B">
              <w:rPr>
                <w:rFonts w:ascii="Arial" w:hAnsi="Arial" w:cs="Arial"/>
                <w:sz w:val="18"/>
                <w:szCs w:val="18"/>
              </w:rPr>
              <w:t>812</w:t>
            </w:r>
            <w:r w:rsidR="00C62A35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="009B0B3F" w:rsidRPr="00B3066D">
              <w:rPr>
                <w:rFonts w:ascii="Arial" w:hAnsi="Arial" w:cs="Arial"/>
                <w:sz w:val="18"/>
                <w:szCs w:val="18"/>
              </w:rPr>
              <w:t>,00 Kč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5AE00" w14:textId="13544851" w:rsidR="009B0B3F" w:rsidRPr="00B3066D" w:rsidRDefault="00C62A35" w:rsidP="00B3066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1 812 000</w:t>
            </w:r>
            <w:r w:rsidRPr="00B3066D">
              <w:rPr>
                <w:rFonts w:ascii="Arial" w:hAnsi="Arial" w:cs="Arial"/>
                <w:sz w:val="18"/>
                <w:szCs w:val="18"/>
              </w:rPr>
              <w:t>,00 Kč</w:t>
            </w:r>
          </w:p>
        </w:tc>
      </w:tr>
    </w:tbl>
    <w:p w14:paraId="518A94BE" w14:textId="77777777" w:rsidR="004E0DB3" w:rsidRPr="00B3066D" w:rsidRDefault="004E0DB3" w:rsidP="00C42A2F">
      <w:pPr>
        <w:jc w:val="both"/>
        <w:rPr>
          <w:rFonts w:ascii="Arial" w:hAnsi="Arial" w:cs="Arial"/>
          <w:sz w:val="18"/>
          <w:szCs w:val="18"/>
        </w:rPr>
      </w:pPr>
    </w:p>
    <w:p w14:paraId="3DB7E5C7" w14:textId="41396F18" w:rsidR="007E2EDB" w:rsidRDefault="00C12ADC" w:rsidP="007E2EDB">
      <w:pPr>
        <w:spacing w:before="120" w:after="120"/>
        <w:jc w:val="both"/>
        <w:rPr>
          <w:rFonts w:ascii="Arial" w:hAnsi="Arial" w:cs="Arial"/>
          <w:bCs/>
        </w:rPr>
      </w:pPr>
      <w:r w:rsidRPr="007E2EDB">
        <w:rPr>
          <w:rFonts w:ascii="Arial" w:hAnsi="Arial" w:cs="Arial"/>
          <w:bCs/>
        </w:rPr>
        <w:t xml:space="preserve">Materiál byl </w:t>
      </w:r>
      <w:r w:rsidR="007E2EDB" w:rsidRPr="007E2EDB">
        <w:rPr>
          <w:rFonts w:ascii="Arial" w:hAnsi="Arial" w:cs="Arial"/>
          <w:bCs/>
        </w:rPr>
        <w:t>připraven ve spolupráci s </w:t>
      </w:r>
      <w:r w:rsidR="007E2EDB">
        <w:rPr>
          <w:rFonts w:ascii="Arial" w:hAnsi="Arial" w:cs="Arial"/>
          <w:bCs/>
        </w:rPr>
        <w:t>C</w:t>
      </w:r>
      <w:r w:rsidR="007E2EDB" w:rsidRPr="007E2EDB">
        <w:rPr>
          <w:rFonts w:ascii="Arial" w:hAnsi="Arial" w:cs="Arial"/>
          <w:bCs/>
        </w:rPr>
        <w:t>entrálou cestovního ruchu Olomouckého kraje, s.r.o. Náklady na povinné 50 % spolufin</w:t>
      </w:r>
      <w:r w:rsidR="007E2EDB">
        <w:rPr>
          <w:rFonts w:ascii="Arial" w:hAnsi="Arial" w:cs="Arial"/>
          <w:bCs/>
        </w:rPr>
        <w:t xml:space="preserve">ancování výdajů projektu a neuznatelné </w:t>
      </w:r>
      <w:r w:rsidR="007E2EDB" w:rsidRPr="007E2EDB">
        <w:rPr>
          <w:rFonts w:ascii="Arial" w:hAnsi="Arial" w:cs="Arial"/>
          <w:bCs/>
        </w:rPr>
        <w:t xml:space="preserve">výdaje (DPH) </w:t>
      </w:r>
      <w:r w:rsidR="007E2EDB" w:rsidRPr="00836D51">
        <w:rPr>
          <w:rFonts w:ascii="Arial" w:hAnsi="Arial" w:cs="Arial"/>
          <w:b/>
        </w:rPr>
        <w:t>budou hrazeny z provozního rozpočtu centrály</w:t>
      </w:r>
      <w:r w:rsidR="007E2EDB">
        <w:rPr>
          <w:rFonts w:ascii="Arial" w:hAnsi="Arial" w:cs="Arial"/>
          <w:bCs/>
        </w:rPr>
        <w:t>.</w:t>
      </w:r>
    </w:p>
    <w:p w14:paraId="5367D524" w14:textId="40CADBEC" w:rsidR="008C40AD" w:rsidRPr="0041491F" w:rsidRDefault="00677398" w:rsidP="007E2EDB">
      <w:pPr>
        <w:spacing w:before="120" w:after="120"/>
        <w:jc w:val="both"/>
        <w:rPr>
          <w:rFonts w:ascii="Arial" w:hAnsi="Arial" w:cs="Arial"/>
          <w:bCs/>
        </w:rPr>
      </w:pPr>
      <w:r w:rsidRPr="0041491F">
        <w:rPr>
          <w:rFonts w:ascii="Arial" w:hAnsi="Arial" w:cs="Arial"/>
          <w:bCs/>
        </w:rPr>
        <w:t>Návrh a</w:t>
      </w:r>
      <w:r w:rsidR="008C40AD" w:rsidRPr="0041491F">
        <w:rPr>
          <w:rFonts w:ascii="Arial" w:hAnsi="Arial" w:cs="Arial"/>
          <w:bCs/>
        </w:rPr>
        <w:t xml:space="preserve">ktivit </w:t>
      </w:r>
      <w:r w:rsidRPr="0041491F">
        <w:rPr>
          <w:rFonts w:ascii="Arial" w:hAnsi="Arial" w:cs="Arial"/>
          <w:bCs/>
        </w:rPr>
        <w:t>projektu</w:t>
      </w:r>
      <w:r w:rsidR="008C40AD" w:rsidRPr="0041491F">
        <w:rPr>
          <w:rFonts w:ascii="Arial" w:hAnsi="Arial" w:cs="Arial"/>
          <w:bCs/>
        </w:rPr>
        <w:t xml:space="preserve"> </w:t>
      </w:r>
      <w:r w:rsidRPr="0041491F">
        <w:rPr>
          <w:rFonts w:ascii="Arial" w:hAnsi="Arial" w:cs="Arial"/>
          <w:bCs/>
        </w:rPr>
        <w:t xml:space="preserve">centrály byl </w:t>
      </w:r>
      <w:r w:rsidR="002B1D93" w:rsidRPr="0041491F">
        <w:rPr>
          <w:rFonts w:ascii="Arial" w:hAnsi="Arial" w:cs="Arial"/>
          <w:bCs/>
        </w:rPr>
        <w:t>koordinován</w:t>
      </w:r>
      <w:r w:rsidRPr="0041491F">
        <w:rPr>
          <w:rFonts w:ascii="Arial" w:hAnsi="Arial" w:cs="Arial"/>
          <w:bCs/>
        </w:rPr>
        <w:t xml:space="preserve"> také se zástupci </w:t>
      </w:r>
      <w:r w:rsidR="003A6D33" w:rsidRPr="0041491F">
        <w:rPr>
          <w:rFonts w:ascii="Arial" w:hAnsi="Arial" w:cs="Arial"/>
          <w:bCs/>
        </w:rPr>
        <w:t>obou oblastních destinačních manage</w:t>
      </w:r>
      <w:r w:rsidR="00304738" w:rsidRPr="0041491F">
        <w:rPr>
          <w:rFonts w:ascii="Arial" w:hAnsi="Arial" w:cs="Arial"/>
          <w:bCs/>
        </w:rPr>
        <w:t>mentů na území Olomouckého kraje</w:t>
      </w:r>
      <w:r w:rsidR="00A37BC1" w:rsidRPr="0041491F">
        <w:rPr>
          <w:rFonts w:ascii="Arial" w:hAnsi="Arial" w:cs="Arial"/>
          <w:bCs/>
        </w:rPr>
        <w:t>:</w:t>
      </w:r>
      <w:r w:rsidR="00304738" w:rsidRPr="0041491F">
        <w:rPr>
          <w:rFonts w:ascii="Arial" w:hAnsi="Arial" w:cs="Arial"/>
          <w:bCs/>
        </w:rPr>
        <w:t xml:space="preserve"> </w:t>
      </w:r>
      <w:r w:rsidR="003A6D33" w:rsidRPr="0041491F">
        <w:rPr>
          <w:rFonts w:ascii="Arial" w:hAnsi="Arial" w:cs="Arial"/>
          <w:bCs/>
        </w:rPr>
        <w:t xml:space="preserve">Jeseníky – Sdružení cestovního ruchu a Střední Morava – Sdružení cestovního </w:t>
      </w:r>
      <w:r w:rsidR="00304738" w:rsidRPr="0041491F">
        <w:rPr>
          <w:rFonts w:ascii="Arial" w:hAnsi="Arial" w:cs="Arial"/>
          <w:bCs/>
        </w:rPr>
        <w:t>ruchu, kte</w:t>
      </w:r>
      <w:r w:rsidR="00A37BC1" w:rsidRPr="0041491F">
        <w:rPr>
          <w:rFonts w:ascii="Arial" w:hAnsi="Arial" w:cs="Arial"/>
          <w:bCs/>
        </w:rPr>
        <w:t xml:space="preserve">ré hodlají </w:t>
      </w:r>
      <w:r w:rsidR="0031063C" w:rsidRPr="0041491F">
        <w:rPr>
          <w:rFonts w:ascii="Arial" w:hAnsi="Arial" w:cs="Arial"/>
          <w:bCs/>
        </w:rPr>
        <w:t xml:space="preserve">do výše uvedené výzvy </w:t>
      </w:r>
      <w:r w:rsidR="0031063C" w:rsidRPr="0041491F">
        <w:rPr>
          <w:rFonts w:ascii="Arial" w:hAnsi="Arial" w:cs="Arial"/>
        </w:rPr>
        <w:t>NPPCRvR</w:t>
      </w:r>
      <w:r w:rsidR="00E104EF" w:rsidRPr="0041491F">
        <w:rPr>
          <w:rFonts w:ascii="Arial" w:hAnsi="Arial" w:cs="Arial"/>
        </w:rPr>
        <w:t xml:space="preserve"> pře</w:t>
      </w:r>
      <w:r w:rsidR="001D567A">
        <w:rPr>
          <w:rFonts w:ascii="Arial" w:hAnsi="Arial" w:cs="Arial"/>
        </w:rPr>
        <w:t>d</w:t>
      </w:r>
      <w:r w:rsidR="00E104EF" w:rsidRPr="0041491F">
        <w:rPr>
          <w:rFonts w:ascii="Arial" w:hAnsi="Arial" w:cs="Arial"/>
        </w:rPr>
        <w:t>ložit také své projektové žádosti. Navržen</w:t>
      </w:r>
      <w:r w:rsidR="00A75E2F" w:rsidRPr="0041491F">
        <w:rPr>
          <w:rFonts w:ascii="Arial" w:hAnsi="Arial" w:cs="Arial"/>
        </w:rPr>
        <w:t>é</w:t>
      </w:r>
      <w:r w:rsidR="00E104EF" w:rsidRPr="0041491F">
        <w:rPr>
          <w:rFonts w:ascii="Arial" w:hAnsi="Arial" w:cs="Arial"/>
        </w:rPr>
        <w:t xml:space="preserve"> aktivity byly zvoleny tak, </w:t>
      </w:r>
      <w:r w:rsidR="002F0104" w:rsidRPr="0041491F">
        <w:rPr>
          <w:rFonts w:ascii="Arial" w:hAnsi="Arial" w:cs="Arial"/>
        </w:rPr>
        <w:t>aby</w:t>
      </w:r>
      <w:r w:rsidR="00E104EF" w:rsidRPr="0041491F">
        <w:rPr>
          <w:rFonts w:ascii="Arial" w:hAnsi="Arial" w:cs="Arial"/>
        </w:rPr>
        <w:t xml:space="preserve"> </w:t>
      </w:r>
      <w:r w:rsidR="00BC3D05" w:rsidRPr="0041491F">
        <w:rPr>
          <w:rFonts w:ascii="Arial" w:hAnsi="Arial" w:cs="Arial"/>
        </w:rPr>
        <w:t>se vzájemně doplňovaly</w:t>
      </w:r>
      <w:r w:rsidR="002F0104" w:rsidRPr="0041491F">
        <w:rPr>
          <w:rFonts w:ascii="Arial" w:hAnsi="Arial" w:cs="Arial"/>
        </w:rPr>
        <w:t xml:space="preserve"> a</w:t>
      </w:r>
      <w:r w:rsidR="002B2C3A" w:rsidRPr="0041491F">
        <w:rPr>
          <w:rFonts w:ascii="Arial" w:hAnsi="Arial" w:cs="Arial"/>
        </w:rPr>
        <w:t xml:space="preserve"> marketingový </w:t>
      </w:r>
      <w:r w:rsidR="00912719" w:rsidRPr="0041491F">
        <w:rPr>
          <w:rFonts w:ascii="Arial" w:hAnsi="Arial" w:cs="Arial"/>
        </w:rPr>
        <w:t>zásah</w:t>
      </w:r>
      <w:r w:rsidR="002B2C3A" w:rsidRPr="0041491F">
        <w:rPr>
          <w:rFonts w:ascii="Arial" w:hAnsi="Arial" w:cs="Arial"/>
        </w:rPr>
        <w:t xml:space="preserve"> všech aktivit byl </w:t>
      </w:r>
      <w:r w:rsidR="00912719" w:rsidRPr="0041491F">
        <w:rPr>
          <w:rFonts w:ascii="Arial" w:hAnsi="Arial" w:cs="Arial"/>
        </w:rPr>
        <w:t xml:space="preserve">maximálně </w:t>
      </w:r>
      <w:r w:rsidR="00BC3D05" w:rsidRPr="0041491F">
        <w:rPr>
          <w:rFonts w:ascii="Arial" w:hAnsi="Arial" w:cs="Arial"/>
        </w:rPr>
        <w:t>efektivní</w:t>
      </w:r>
      <w:r w:rsidR="00912719" w:rsidRPr="0041491F">
        <w:rPr>
          <w:rFonts w:ascii="Arial" w:hAnsi="Arial" w:cs="Arial"/>
        </w:rPr>
        <w:t xml:space="preserve">. </w:t>
      </w:r>
    </w:p>
    <w:p w14:paraId="0B66A4DF" w14:textId="77777777" w:rsidR="00863967" w:rsidRDefault="00863967" w:rsidP="00863967">
      <w:pPr>
        <w:spacing w:before="120"/>
        <w:jc w:val="both"/>
        <w:rPr>
          <w:rFonts w:ascii="Arial" w:hAnsi="Arial" w:cs="Arial"/>
          <w:b/>
          <w:u w:val="single"/>
        </w:rPr>
      </w:pPr>
    </w:p>
    <w:p w14:paraId="2D4B7C0A" w14:textId="2EBC95B0" w:rsidR="002E5D28" w:rsidRPr="00863967" w:rsidRDefault="00863967" w:rsidP="00863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/>
        <w:jc w:val="both"/>
        <w:rPr>
          <w:rFonts w:ascii="Arial" w:hAnsi="Arial" w:cs="Arial"/>
          <w:b/>
        </w:rPr>
      </w:pPr>
      <w:r w:rsidRPr="00863967">
        <w:rPr>
          <w:rFonts w:ascii="Arial" w:hAnsi="Arial" w:cs="Arial"/>
          <w:b/>
        </w:rPr>
        <w:t>Rada Olomouckého kraje svým usnesením č. UR/102/12/2024 ze dne 19. 2. 2024 doporučila Zastupitelstvu Olomouckého kraje</w:t>
      </w:r>
      <w:r w:rsidR="00E24E75" w:rsidRPr="00863967">
        <w:rPr>
          <w:rFonts w:ascii="Arial" w:hAnsi="Arial" w:cs="Arial"/>
          <w:b/>
        </w:rPr>
        <w:t xml:space="preserve"> </w:t>
      </w:r>
      <w:r w:rsidR="00AD338F" w:rsidRPr="00863967">
        <w:rPr>
          <w:rFonts w:ascii="Arial" w:hAnsi="Arial" w:cs="Arial"/>
          <w:b/>
        </w:rPr>
        <w:t>s</w:t>
      </w:r>
      <w:r w:rsidR="00DA1007" w:rsidRPr="00863967">
        <w:rPr>
          <w:rFonts w:ascii="Arial" w:hAnsi="Arial" w:cs="Arial"/>
          <w:b/>
        </w:rPr>
        <w:t>ouhlasit s realizací a financováním projektu „</w:t>
      </w:r>
      <w:r w:rsidR="00D763A0" w:rsidRPr="00863967">
        <w:rPr>
          <w:rFonts w:ascii="Arial" w:hAnsi="Arial" w:cs="Arial"/>
          <w:b/>
        </w:rPr>
        <w:t>Olomoucký kraj - efektivní řízení a marketing destinace</w:t>
      </w:r>
      <w:r w:rsidR="00DA1007" w:rsidRPr="00863967">
        <w:rPr>
          <w:rFonts w:ascii="Arial" w:hAnsi="Arial" w:cs="Arial"/>
          <w:b/>
        </w:rPr>
        <w:t>“ v p</w:t>
      </w:r>
      <w:r w:rsidR="004727BB" w:rsidRPr="00863967">
        <w:rPr>
          <w:rFonts w:ascii="Arial" w:hAnsi="Arial" w:cs="Arial"/>
          <w:b/>
        </w:rPr>
        <w:t>ř</w:t>
      </w:r>
      <w:r w:rsidR="00DA1007" w:rsidRPr="00863967">
        <w:rPr>
          <w:rFonts w:ascii="Arial" w:hAnsi="Arial" w:cs="Arial"/>
          <w:b/>
        </w:rPr>
        <w:t xml:space="preserve">ípadě </w:t>
      </w:r>
      <w:r w:rsidR="004727BB" w:rsidRPr="00863967">
        <w:rPr>
          <w:rFonts w:ascii="Arial" w:hAnsi="Arial" w:cs="Arial"/>
          <w:b/>
        </w:rPr>
        <w:t>návrhu</w:t>
      </w:r>
      <w:r w:rsidR="00DA1007" w:rsidRPr="00863967">
        <w:rPr>
          <w:rFonts w:ascii="Arial" w:hAnsi="Arial" w:cs="Arial"/>
          <w:b/>
        </w:rPr>
        <w:t xml:space="preserve"> projektu k dotaci</w:t>
      </w:r>
    </w:p>
    <w:p w14:paraId="43E260D4" w14:textId="06EF24BD" w:rsidR="0081263D" w:rsidRDefault="0081263D" w:rsidP="0081263D">
      <w:pPr>
        <w:jc w:val="both"/>
        <w:rPr>
          <w:rFonts w:ascii="Arial" w:hAnsi="Arial" w:cs="Arial"/>
        </w:rPr>
      </w:pPr>
    </w:p>
    <w:p w14:paraId="48F94011" w14:textId="77777777" w:rsidR="001715F5" w:rsidRDefault="001715F5" w:rsidP="0081263D">
      <w:pPr>
        <w:jc w:val="both"/>
        <w:rPr>
          <w:rFonts w:ascii="Arial" w:hAnsi="Arial" w:cs="Arial"/>
          <w:b/>
          <w:bCs/>
          <w:u w:val="single"/>
        </w:rPr>
      </w:pPr>
    </w:p>
    <w:p w14:paraId="1F6128E6" w14:textId="1AC31494" w:rsidR="001715F5" w:rsidRPr="001715F5" w:rsidRDefault="001715F5" w:rsidP="0081263D">
      <w:pPr>
        <w:jc w:val="both"/>
        <w:rPr>
          <w:rFonts w:ascii="Arial" w:hAnsi="Arial" w:cs="Arial"/>
          <w:b/>
          <w:bCs/>
          <w:u w:val="single"/>
        </w:rPr>
      </w:pPr>
      <w:r w:rsidRPr="001715F5">
        <w:rPr>
          <w:rFonts w:ascii="Arial" w:hAnsi="Arial" w:cs="Arial"/>
          <w:b/>
          <w:bCs/>
          <w:u w:val="single"/>
        </w:rPr>
        <w:t xml:space="preserve">Přílohy: </w:t>
      </w:r>
    </w:p>
    <w:p w14:paraId="2FE577B1" w14:textId="112D98AC" w:rsidR="001715F5" w:rsidRDefault="001715F5" w:rsidP="0081263D">
      <w:pPr>
        <w:jc w:val="both"/>
        <w:rPr>
          <w:rFonts w:ascii="Arial" w:hAnsi="Arial" w:cs="Arial"/>
        </w:rPr>
      </w:pPr>
    </w:p>
    <w:p w14:paraId="1D46AA05" w14:textId="308287E9" w:rsidR="001715F5" w:rsidRPr="0081263D" w:rsidRDefault="001715F5" w:rsidP="0081263D">
      <w:pPr>
        <w:jc w:val="both"/>
        <w:rPr>
          <w:rFonts w:ascii="Arial" w:hAnsi="Arial" w:cs="Arial"/>
        </w:rPr>
      </w:pPr>
      <w:r w:rsidRPr="001715F5">
        <w:rPr>
          <w:rFonts w:ascii="Arial" w:hAnsi="Arial" w:cs="Arial"/>
        </w:rPr>
        <w:t>Usnesení_příloha č. 01 - Popis aktivit projektu „OK - efektivní řízení a marketing destinace“</w:t>
      </w:r>
      <w:r>
        <w:rPr>
          <w:rFonts w:ascii="Arial" w:hAnsi="Arial" w:cs="Arial"/>
        </w:rPr>
        <w:t xml:space="preserve"> </w:t>
      </w:r>
    </w:p>
    <w:sectPr w:rsidR="001715F5" w:rsidRPr="0081263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6787" w14:textId="77777777" w:rsidR="00456790" w:rsidRDefault="00456790">
      <w:r>
        <w:separator/>
      </w:r>
    </w:p>
  </w:endnote>
  <w:endnote w:type="continuationSeparator" w:id="0">
    <w:p w14:paraId="6BB7330C" w14:textId="77777777" w:rsidR="00456790" w:rsidRDefault="0045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7C5F" w14:textId="0D60AC89" w:rsidR="00864324" w:rsidRPr="00AB4CD4" w:rsidRDefault="00EA56F8" w:rsidP="00864324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00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64324" w:rsidRPr="00AB4CD4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864324" w:rsidRPr="00AB4CD4">
      <w:rPr>
        <w:rFonts w:ascii="Arial" w:hAnsi="Arial" w:cs="Arial"/>
        <w:i/>
        <w:sz w:val="20"/>
        <w:szCs w:val="20"/>
      </w:rPr>
      <w:t>. </w:t>
    </w:r>
    <w:r w:rsidR="00D41B32" w:rsidRPr="00AB4CD4">
      <w:rPr>
        <w:rFonts w:ascii="Arial" w:hAnsi="Arial" w:cs="Arial"/>
        <w:i/>
        <w:sz w:val="20"/>
        <w:szCs w:val="20"/>
      </w:rPr>
      <w:t>2</w:t>
    </w:r>
    <w:r w:rsidR="00864324" w:rsidRPr="00AB4CD4">
      <w:rPr>
        <w:rFonts w:ascii="Arial" w:hAnsi="Arial" w:cs="Arial"/>
        <w:i/>
        <w:sz w:val="20"/>
        <w:szCs w:val="20"/>
      </w:rPr>
      <w:t>. 202</w:t>
    </w:r>
    <w:r w:rsidR="00D066BE" w:rsidRPr="00AB4CD4">
      <w:rPr>
        <w:rFonts w:ascii="Arial" w:hAnsi="Arial" w:cs="Arial"/>
        <w:i/>
        <w:sz w:val="20"/>
        <w:szCs w:val="20"/>
      </w:rPr>
      <w:t>4</w:t>
    </w:r>
    <w:r w:rsidR="00864324" w:rsidRPr="00AB4CD4">
      <w:rPr>
        <w:rFonts w:ascii="Arial" w:hAnsi="Arial" w:cs="Arial"/>
        <w:i/>
        <w:sz w:val="20"/>
        <w:szCs w:val="20"/>
      </w:rPr>
      <w:tab/>
      <w:t xml:space="preserve">Strana </w:t>
    </w:r>
    <w:r w:rsidR="00864324" w:rsidRPr="00AB4CD4">
      <w:rPr>
        <w:rFonts w:ascii="Arial" w:hAnsi="Arial" w:cs="Arial"/>
        <w:i/>
        <w:sz w:val="20"/>
        <w:szCs w:val="20"/>
      </w:rPr>
      <w:fldChar w:fldCharType="begin"/>
    </w:r>
    <w:r w:rsidR="00864324" w:rsidRPr="00AB4CD4">
      <w:rPr>
        <w:rFonts w:ascii="Arial" w:hAnsi="Arial" w:cs="Arial"/>
        <w:i/>
        <w:sz w:val="20"/>
        <w:szCs w:val="20"/>
      </w:rPr>
      <w:instrText xml:space="preserve"> PAGE </w:instrText>
    </w:r>
    <w:r w:rsidR="00864324" w:rsidRPr="00AB4CD4">
      <w:rPr>
        <w:rFonts w:ascii="Arial" w:hAnsi="Arial" w:cs="Arial"/>
        <w:i/>
        <w:sz w:val="20"/>
        <w:szCs w:val="20"/>
      </w:rPr>
      <w:fldChar w:fldCharType="separate"/>
    </w:r>
    <w:r w:rsidR="00864324" w:rsidRPr="00AB4CD4">
      <w:rPr>
        <w:rFonts w:ascii="Arial" w:hAnsi="Arial" w:cs="Arial"/>
        <w:i/>
        <w:sz w:val="20"/>
        <w:szCs w:val="20"/>
      </w:rPr>
      <w:t>1</w:t>
    </w:r>
    <w:r w:rsidR="00864324" w:rsidRPr="00AB4CD4">
      <w:rPr>
        <w:rFonts w:ascii="Arial" w:hAnsi="Arial" w:cs="Arial"/>
        <w:i/>
        <w:sz w:val="20"/>
        <w:szCs w:val="20"/>
      </w:rPr>
      <w:fldChar w:fldCharType="end"/>
    </w:r>
    <w:r w:rsidR="00864324" w:rsidRPr="00AB4CD4">
      <w:rPr>
        <w:rFonts w:ascii="Arial" w:hAnsi="Arial" w:cs="Arial"/>
        <w:i/>
        <w:sz w:val="20"/>
        <w:szCs w:val="20"/>
      </w:rPr>
      <w:t xml:space="preserve"> (celkem </w:t>
    </w:r>
    <w:r w:rsidR="00864324" w:rsidRPr="00AB4CD4">
      <w:rPr>
        <w:rFonts w:ascii="Arial" w:hAnsi="Arial" w:cs="Arial"/>
        <w:i/>
        <w:sz w:val="20"/>
        <w:szCs w:val="20"/>
      </w:rPr>
      <w:fldChar w:fldCharType="begin"/>
    </w:r>
    <w:r w:rsidR="00864324" w:rsidRPr="00AB4CD4">
      <w:rPr>
        <w:rFonts w:ascii="Arial" w:hAnsi="Arial" w:cs="Arial"/>
        <w:i/>
        <w:sz w:val="20"/>
        <w:szCs w:val="20"/>
      </w:rPr>
      <w:instrText xml:space="preserve"> NUMPAGES </w:instrText>
    </w:r>
    <w:r w:rsidR="00864324" w:rsidRPr="00AB4CD4">
      <w:rPr>
        <w:rFonts w:ascii="Arial" w:hAnsi="Arial" w:cs="Arial"/>
        <w:i/>
        <w:sz w:val="20"/>
        <w:szCs w:val="20"/>
      </w:rPr>
      <w:fldChar w:fldCharType="separate"/>
    </w:r>
    <w:r w:rsidR="00864324" w:rsidRPr="00AB4CD4">
      <w:rPr>
        <w:rFonts w:ascii="Arial" w:hAnsi="Arial" w:cs="Arial"/>
        <w:i/>
        <w:sz w:val="20"/>
        <w:szCs w:val="20"/>
      </w:rPr>
      <w:t>4</w:t>
    </w:r>
    <w:r w:rsidR="00864324" w:rsidRPr="00AB4CD4">
      <w:rPr>
        <w:rFonts w:ascii="Arial" w:hAnsi="Arial" w:cs="Arial"/>
        <w:i/>
        <w:sz w:val="20"/>
        <w:szCs w:val="20"/>
      </w:rPr>
      <w:fldChar w:fldCharType="end"/>
    </w:r>
    <w:r w:rsidR="00864324" w:rsidRPr="00AB4CD4">
      <w:rPr>
        <w:rFonts w:ascii="Arial" w:hAnsi="Arial" w:cs="Arial"/>
        <w:i/>
        <w:sz w:val="20"/>
        <w:szCs w:val="20"/>
      </w:rPr>
      <w:t>)</w:t>
    </w:r>
  </w:p>
  <w:p w14:paraId="0B1F5265" w14:textId="401EF61B" w:rsidR="00800DFA" w:rsidRPr="00AB4CD4" w:rsidRDefault="009251BB" w:rsidP="00D066BE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43</w:t>
    </w:r>
    <w:r w:rsidR="00EF4BD9">
      <w:rPr>
        <w:rFonts w:ascii="Arial" w:hAnsi="Arial" w:cs="Arial"/>
        <w:i/>
        <w:sz w:val="20"/>
      </w:rPr>
      <w:t>.</w:t>
    </w:r>
    <w:r w:rsidR="00864324" w:rsidRPr="00AB4CD4">
      <w:rPr>
        <w:rFonts w:ascii="Arial" w:hAnsi="Arial" w:cs="Arial"/>
        <w:i/>
        <w:sz w:val="20"/>
      </w:rPr>
      <w:t xml:space="preserve"> -</w:t>
    </w:r>
    <w:r w:rsidR="00864324" w:rsidRPr="00AB4CD4">
      <w:rPr>
        <w:rFonts w:ascii="Arial" w:hAnsi="Arial" w:cs="Arial"/>
        <w:i/>
      </w:rPr>
      <w:t xml:space="preserve"> </w:t>
    </w:r>
    <w:r w:rsidR="0041491F" w:rsidRPr="00AB4CD4">
      <w:rPr>
        <w:rFonts w:ascii="Arial" w:hAnsi="Arial" w:cs="Arial"/>
        <w:i/>
        <w:sz w:val="20"/>
        <w:szCs w:val="20"/>
      </w:rPr>
      <w:t>Souhlas s realizací a financováním projektu Centrály cestovního ruchu Olomouckého kraje, s.r.o., do Národního programu podpory cestovního ruchu v regionech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CF1A" w14:textId="77777777" w:rsidR="00456790" w:rsidRDefault="00456790">
      <w:r>
        <w:separator/>
      </w:r>
    </w:p>
  </w:footnote>
  <w:footnote w:type="continuationSeparator" w:id="0">
    <w:p w14:paraId="73F850F9" w14:textId="77777777" w:rsidR="00456790" w:rsidRDefault="0045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81A"/>
    <w:multiLevelType w:val="hybridMultilevel"/>
    <w:tmpl w:val="3278758E"/>
    <w:lvl w:ilvl="0" w:tplc="6A6A05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02F3"/>
    <w:multiLevelType w:val="hybridMultilevel"/>
    <w:tmpl w:val="92C2C3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F38C7"/>
    <w:multiLevelType w:val="hybridMultilevel"/>
    <w:tmpl w:val="C7129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5F14"/>
    <w:multiLevelType w:val="hybridMultilevel"/>
    <w:tmpl w:val="B53E98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66133"/>
    <w:multiLevelType w:val="hybridMultilevel"/>
    <w:tmpl w:val="B3987E64"/>
    <w:lvl w:ilvl="0" w:tplc="202EE46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E75C11"/>
    <w:multiLevelType w:val="multilevel"/>
    <w:tmpl w:val="87D0AD5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2574"/>
        </w:tabs>
        <w:ind w:left="257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decimal"/>
      <w:lvlRestart w:val="0"/>
      <w:pStyle w:val="StylStyl2Vlevo127cmPrvndek0cm"/>
      <w:lvlText w:val="%1.%2.%3."/>
      <w:lvlJc w:val="left"/>
      <w:pPr>
        <w:tabs>
          <w:tab w:val="num" w:pos="3425"/>
        </w:tabs>
        <w:ind w:left="342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5760" w:hanging="1440"/>
      </w:pPr>
      <w:rPr>
        <w:rFonts w:hint="default"/>
      </w:rPr>
    </w:lvl>
  </w:abstractNum>
  <w:abstractNum w:abstractNumId="6" w15:restartNumberingAfterBreak="0">
    <w:nsid w:val="381E06E0"/>
    <w:multiLevelType w:val="multilevel"/>
    <w:tmpl w:val="7CD464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632BDF"/>
    <w:multiLevelType w:val="hybridMultilevel"/>
    <w:tmpl w:val="9B50D6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3124F"/>
    <w:multiLevelType w:val="hybridMultilevel"/>
    <w:tmpl w:val="DF1CBEDA"/>
    <w:lvl w:ilvl="0" w:tplc="E006CEC4">
      <w:start w:val="29"/>
      <w:numFmt w:val="bullet"/>
      <w:lvlText w:val="-"/>
      <w:lvlJc w:val="left"/>
      <w:pPr>
        <w:ind w:left="54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9" w15:restartNumberingAfterBreak="0">
    <w:nsid w:val="4423240B"/>
    <w:multiLevelType w:val="hybridMultilevel"/>
    <w:tmpl w:val="E514AE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230EF"/>
    <w:multiLevelType w:val="hybridMultilevel"/>
    <w:tmpl w:val="E980546A"/>
    <w:lvl w:ilvl="0" w:tplc="0ADC00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07BFD"/>
    <w:multiLevelType w:val="hybridMultilevel"/>
    <w:tmpl w:val="D226BAA2"/>
    <w:lvl w:ilvl="0" w:tplc="BC4C33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B2FF8"/>
    <w:multiLevelType w:val="hybridMultilevel"/>
    <w:tmpl w:val="6C74FE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01651"/>
    <w:multiLevelType w:val="hybridMultilevel"/>
    <w:tmpl w:val="AD0C5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9"/>
  </w:num>
  <w:num w:numId="10">
    <w:abstractNumId w:val="14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1FA"/>
    <w:rsid w:val="0000377F"/>
    <w:rsid w:val="00005C10"/>
    <w:rsid w:val="00010A81"/>
    <w:rsid w:val="00011764"/>
    <w:rsid w:val="00013B76"/>
    <w:rsid w:val="00022141"/>
    <w:rsid w:val="00022808"/>
    <w:rsid w:val="000247B6"/>
    <w:rsid w:val="00026746"/>
    <w:rsid w:val="00027652"/>
    <w:rsid w:val="00032411"/>
    <w:rsid w:val="00033209"/>
    <w:rsid w:val="0003428F"/>
    <w:rsid w:val="00034E6D"/>
    <w:rsid w:val="00051496"/>
    <w:rsid w:val="000534CC"/>
    <w:rsid w:val="000547C8"/>
    <w:rsid w:val="00055D37"/>
    <w:rsid w:val="000563C4"/>
    <w:rsid w:val="000619D5"/>
    <w:rsid w:val="00063D2A"/>
    <w:rsid w:val="000827F5"/>
    <w:rsid w:val="00084FF4"/>
    <w:rsid w:val="00087FC9"/>
    <w:rsid w:val="000973AB"/>
    <w:rsid w:val="000A58CE"/>
    <w:rsid w:val="000A63ED"/>
    <w:rsid w:val="000B0C27"/>
    <w:rsid w:val="000C416A"/>
    <w:rsid w:val="000D1191"/>
    <w:rsid w:val="000D348F"/>
    <w:rsid w:val="000E4B2F"/>
    <w:rsid w:val="000F3B14"/>
    <w:rsid w:val="000F72BA"/>
    <w:rsid w:val="001004F2"/>
    <w:rsid w:val="00102641"/>
    <w:rsid w:val="001102DC"/>
    <w:rsid w:val="001121FF"/>
    <w:rsid w:val="00113BA7"/>
    <w:rsid w:val="00120022"/>
    <w:rsid w:val="00121465"/>
    <w:rsid w:val="001216C5"/>
    <w:rsid w:val="00123A64"/>
    <w:rsid w:val="001264F1"/>
    <w:rsid w:val="001267F2"/>
    <w:rsid w:val="001313DF"/>
    <w:rsid w:val="0013181D"/>
    <w:rsid w:val="0014508E"/>
    <w:rsid w:val="0015221A"/>
    <w:rsid w:val="00155AB5"/>
    <w:rsid w:val="00165D7C"/>
    <w:rsid w:val="00165E6E"/>
    <w:rsid w:val="001715F5"/>
    <w:rsid w:val="00186368"/>
    <w:rsid w:val="0018645A"/>
    <w:rsid w:val="00192D17"/>
    <w:rsid w:val="001A2274"/>
    <w:rsid w:val="001B6258"/>
    <w:rsid w:val="001B7EA1"/>
    <w:rsid w:val="001C3391"/>
    <w:rsid w:val="001C64C7"/>
    <w:rsid w:val="001C7387"/>
    <w:rsid w:val="001D27A1"/>
    <w:rsid w:val="001D3EA5"/>
    <w:rsid w:val="001D4595"/>
    <w:rsid w:val="001D567A"/>
    <w:rsid w:val="001E3882"/>
    <w:rsid w:val="001F455F"/>
    <w:rsid w:val="0020011F"/>
    <w:rsid w:val="00201BB5"/>
    <w:rsid w:val="0020534C"/>
    <w:rsid w:val="00210BB6"/>
    <w:rsid w:val="00212544"/>
    <w:rsid w:val="00233100"/>
    <w:rsid w:val="0023568D"/>
    <w:rsid w:val="0024258A"/>
    <w:rsid w:val="0024602C"/>
    <w:rsid w:val="00252FFD"/>
    <w:rsid w:val="00261748"/>
    <w:rsid w:val="00272B38"/>
    <w:rsid w:val="00283E81"/>
    <w:rsid w:val="002A07A1"/>
    <w:rsid w:val="002A27EE"/>
    <w:rsid w:val="002A3C07"/>
    <w:rsid w:val="002A51B4"/>
    <w:rsid w:val="002B1D93"/>
    <w:rsid w:val="002B2C3A"/>
    <w:rsid w:val="002B4DE1"/>
    <w:rsid w:val="002C4FD4"/>
    <w:rsid w:val="002D4592"/>
    <w:rsid w:val="002E597B"/>
    <w:rsid w:val="002E5D28"/>
    <w:rsid w:val="002F0104"/>
    <w:rsid w:val="002F2B91"/>
    <w:rsid w:val="002F55FD"/>
    <w:rsid w:val="00300FFB"/>
    <w:rsid w:val="00304738"/>
    <w:rsid w:val="00310186"/>
    <w:rsid w:val="0031063C"/>
    <w:rsid w:val="00315621"/>
    <w:rsid w:val="00316821"/>
    <w:rsid w:val="00320198"/>
    <w:rsid w:val="0032068F"/>
    <w:rsid w:val="00326043"/>
    <w:rsid w:val="00333495"/>
    <w:rsid w:val="00340AE1"/>
    <w:rsid w:val="0034551D"/>
    <w:rsid w:val="00345556"/>
    <w:rsid w:val="00347BD8"/>
    <w:rsid w:val="00355440"/>
    <w:rsid w:val="00360CF0"/>
    <w:rsid w:val="00370152"/>
    <w:rsid w:val="0037019F"/>
    <w:rsid w:val="003752ED"/>
    <w:rsid w:val="003765C6"/>
    <w:rsid w:val="00377302"/>
    <w:rsid w:val="0038187F"/>
    <w:rsid w:val="00390013"/>
    <w:rsid w:val="00391A5E"/>
    <w:rsid w:val="00397F18"/>
    <w:rsid w:val="003A12A9"/>
    <w:rsid w:val="003A16A8"/>
    <w:rsid w:val="003A4BAA"/>
    <w:rsid w:val="003A6D33"/>
    <w:rsid w:val="003A6D76"/>
    <w:rsid w:val="003B0AB2"/>
    <w:rsid w:val="003B235B"/>
    <w:rsid w:val="003B4671"/>
    <w:rsid w:val="003B7FDB"/>
    <w:rsid w:val="003C1138"/>
    <w:rsid w:val="003C6BC8"/>
    <w:rsid w:val="003C7A72"/>
    <w:rsid w:val="003D1CB1"/>
    <w:rsid w:val="003D5ACE"/>
    <w:rsid w:val="003E0A24"/>
    <w:rsid w:val="003E127E"/>
    <w:rsid w:val="003E1D69"/>
    <w:rsid w:val="003E50B1"/>
    <w:rsid w:val="004021BA"/>
    <w:rsid w:val="0040562D"/>
    <w:rsid w:val="004064E8"/>
    <w:rsid w:val="0041491F"/>
    <w:rsid w:val="00416941"/>
    <w:rsid w:val="0042062A"/>
    <w:rsid w:val="004373A5"/>
    <w:rsid w:val="0044280A"/>
    <w:rsid w:val="00450356"/>
    <w:rsid w:val="00456790"/>
    <w:rsid w:val="00456EAE"/>
    <w:rsid w:val="004727BB"/>
    <w:rsid w:val="004767F2"/>
    <w:rsid w:val="0047755B"/>
    <w:rsid w:val="00477608"/>
    <w:rsid w:val="0048756B"/>
    <w:rsid w:val="00493854"/>
    <w:rsid w:val="00493C81"/>
    <w:rsid w:val="004A6797"/>
    <w:rsid w:val="004B0234"/>
    <w:rsid w:val="004B786D"/>
    <w:rsid w:val="004C11EA"/>
    <w:rsid w:val="004C6665"/>
    <w:rsid w:val="004D1948"/>
    <w:rsid w:val="004D38B0"/>
    <w:rsid w:val="004E0DB3"/>
    <w:rsid w:val="004E36E0"/>
    <w:rsid w:val="004E3DFB"/>
    <w:rsid w:val="004E7B69"/>
    <w:rsid w:val="004F097A"/>
    <w:rsid w:val="004F4B35"/>
    <w:rsid w:val="004F6EB1"/>
    <w:rsid w:val="005047D9"/>
    <w:rsid w:val="005142CB"/>
    <w:rsid w:val="0051464A"/>
    <w:rsid w:val="005172B6"/>
    <w:rsid w:val="0052185D"/>
    <w:rsid w:val="00525AC3"/>
    <w:rsid w:val="00531A37"/>
    <w:rsid w:val="005351AD"/>
    <w:rsid w:val="00550793"/>
    <w:rsid w:val="00553CCB"/>
    <w:rsid w:val="00560012"/>
    <w:rsid w:val="005621C7"/>
    <w:rsid w:val="0058045A"/>
    <w:rsid w:val="00583275"/>
    <w:rsid w:val="00584CC5"/>
    <w:rsid w:val="005A11FA"/>
    <w:rsid w:val="005A3613"/>
    <w:rsid w:val="005B05FE"/>
    <w:rsid w:val="005C2AE9"/>
    <w:rsid w:val="005C332E"/>
    <w:rsid w:val="005C4182"/>
    <w:rsid w:val="005C76DB"/>
    <w:rsid w:val="005D7B55"/>
    <w:rsid w:val="00600BF7"/>
    <w:rsid w:val="0060261C"/>
    <w:rsid w:val="00612D71"/>
    <w:rsid w:val="006165A2"/>
    <w:rsid w:val="0061755C"/>
    <w:rsid w:val="00621E43"/>
    <w:rsid w:val="006371BC"/>
    <w:rsid w:val="00642A85"/>
    <w:rsid w:val="00647258"/>
    <w:rsid w:val="006479F2"/>
    <w:rsid w:val="006620F6"/>
    <w:rsid w:val="0066677E"/>
    <w:rsid w:val="00676500"/>
    <w:rsid w:val="00677398"/>
    <w:rsid w:val="00680660"/>
    <w:rsid w:val="00682AC2"/>
    <w:rsid w:val="006909E3"/>
    <w:rsid w:val="006950D7"/>
    <w:rsid w:val="00696671"/>
    <w:rsid w:val="00697476"/>
    <w:rsid w:val="006A01EA"/>
    <w:rsid w:val="006B26B9"/>
    <w:rsid w:val="006B32D1"/>
    <w:rsid w:val="006B646D"/>
    <w:rsid w:val="006D0AF9"/>
    <w:rsid w:val="006D1994"/>
    <w:rsid w:val="006D2DC3"/>
    <w:rsid w:val="006D2F22"/>
    <w:rsid w:val="006D5682"/>
    <w:rsid w:val="006E0166"/>
    <w:rsid w:val="006E21CE"/>
    <w:rsid w:val="006F1057"/>
    <w:rsid w:val="006F48BD"/>
    <w:rsid w:val="0070769D"/>
    <w:rsid w:val="00707DD0"/>
    <w:rsid w:val="00723501"/>
    <w:rsid w:val="00724768"/>
    <w:rsid w:val="007249D6"/>
    <w:rsid w:val="00732AAD"/>
    <w:rsid w:val="0074176A"/>
    <w:rsid w:val="00744F03"/>
    <w:rsid w:val="007473D0"/>
    <w:rsid w:val="00757941"/>
    <w:rsid w:val="0077019A"/>
    <w:rsid w:val="00771D23"/>
    <w:rsid w:val="00776410"/>
    <w:rsid w:val="00782593"/>
    <w:rsid w:val="007927C1"/>
    <w:rsid w:val="007B5BD5"/>
    <w:rsid w:val="007C1B09"/>
    <w:rsid w:val="007C52F1"/>
    <w:rsid w:val="007D1723"/>
    <w:rsid w:val="007D3DFD"/>
    <w:rsid w:val="007D49FB"/>
    <w:rsid w:val="007E08BA"/>
    <w:rsid w:val="007E15C2"/>
    <w:rsid w:val="007E2EDB"/>
    <w:rsid w:val="007F3D6A"/>
    <w:rsid w:val="007F4DA9"/>
    <w:rsid w:val="00800DFA"/>
    <w:rsid w:val="0081263D"/>
    <w:rsid w:val="00823D45"/>
    <w:rsid w:val="00825DF4"/>
    <w:rsid w:val="00835FFC"/>
    <w:rsid w:val="00836D51"/>
    <w:rsid w:val="008378E6"/>
    <w:rsid w:val="00843478"/>
    <w:rsid w:val="00847F0D"/>
    <w:rsid w:val="00863967"/>
    <w:rsid w:val="00863F97"/>
    <w:rsid w:val="00864324"/>
    <w:rsid w:val="008702F8"/>
    <w:rsid w:val="00891A90"/>
    <w:rsid w:val="00893377"/>
    <w:rsid w:val="008933A3"/>
    <w:rsid w:val="00894458"/>
    <w:rsid w:val="0089504B"/>
    <w:rsid w:val="008A3C08"/>
    <w:rsid w:val="008B0FDB"/>
    <w:rsid w:val="008B13E8"/>
    <w:rsid w:val="008C2E86"/>
    <w:rsid w:val="008C40AD"/>
    <w:rsid w:val="008C52D2"/>
    <w:rsid w:val="008C5470"/>
    <w:rsid w:val="008E1904"/>
    <w:rsid w:val="008E25DA"/>
    <w:rsid w:val="008E462E"/>
    <w:rsid w:val="008E598D"/>
    <w:rsid w:val="008F7F35"/>
    <w:rsid w:val="0090487F"/>
    <w:rsid w:val="0090572F"/>
    <w:rsid w:val="009059F0"/>
    <w:rsid w:val="00912719"/>
    <w:rsid w:val="00922A05"/>
    <w:rsid w:val="00923950"/>
    <w:rsid w:val="009251BB"/>
    <w:rsid w:val="009271FA"/>
    <w:rsid w:val="00941C00"/>
    <w:rsid w:val="009443C7"/>
    <w:rsid w:val="0094705E"/>
    <w:rsid w:val="00957EB9"/>
    <w:rsid w:val="00961249"/>
    <w:rsid w:val="00975E82"/>
    <w:rsid w:val="00983509"/>
    <w:rsid w:val="00983786"/>
    <w:rsid w:val="00987730"/>
    <w:rsid w:val="00993995"/>
    <w:rsid w:val="00994A4D"/>
    <w:rsid w:val="009951A8"/>
    <w:rsid w:val="00995A90"/>
    <w:rsid w:val="00995B1F"/>
    <w:rsid w:val="009B0B3F"/>
    <w:rsid w:val="009B78A0"/>
    <w:rsid w:val="009C5E39"/>
    <w:rsid w:val="009D02FA"/>
    <w:rsid w:val="009D0CF2"/>
    <w:rsid w:val="009D28D9"/>
    <w:rsid w:val="009D5A99"/>
    <w:rsid w:val="009D628D"/>
    <w:rsid w:val="009D7162"/>
    <w:rsid w:val="009E7A89"/>
    <w:rsid w:val="009E7BEE"/>
    <w:rsid w:val="009F1A67"/>
    <w:rsid w:val="009F283C"/>
    <w:rsid w:val="009F309D"/>
    <w:rsid w:val="009F34B6"/>
    <w:rsid w:val="009F4857"/>
    <w:rsid w:val="00A11009"/>
    <w:rsid w:val="00A25CEA"/>
    <w:rsid w:val="00A2649D"/>
    <w:rsid w:val="00A276DC"/>
    <w:rsid w:val="00A37BC1"/>
    <w:rsid w:val="00A4374A"/>
    <w:rsid w:val="00A4629B"/>
    <w:rsid w:val="00A50FEA"/>
    <w:rsid w:val="00A624E3"/>
    <w:rsid w:val="00A67649"/>
    <w:rsid w:val="00A73C75"/>
    <w:rsid w:val="00A73EFE"/>
    <w:rsid w:val="00A75E2F"/>
    <w:rsid w:val="00A90230"/>
    <w:rsid w:val="00A90409"/>
    <w:rsid w:val="00AA5026"/>
    <w:rsid w:val="00AB4CD4"/>
    <w:rsid w:val="00AC2431"/>
    <w:rsid w:val="00AD1BDB"/>
    <w:rsid w:val="00AD338F"/>
    <w:rsid w:val="00AD54C7"/>
    <w:rsid w:val="00AD5BE9"/>
    <w:rsid w:val="00AE0467"/>
    <w:rsid w:val="00AF77CD"/>
    <w:rsid w:val="00B00723"/>
    <w:rsid w:val="00B028AF"/>
    <w:rsid w:val="00B10A57"/>
    <w:rsid w:val="00B25263"/>
    <w:rsid w:val="00B264A1"/>
    <w:rsid w:val="00B3066D"/>
    <w:rsid w:val="00B336DB"/>
    <w:rsid w:val="00B33854"/>
    <w:rsid w:val="00B357A8"/>
    <w:rsid w:val="00B426BE"/>
    <w:rsid w:val="00B54A96"/>
    <w:rsid w:val="00B5627B"/>
    <w:rsid w:val="00B56F1E"/>
    <w:rsid w:val="00B70443"/>
    <w:rsid w:val="00B73303"/>
    <w:rsid w:val="00B74FB9"/>
    <w:rsid w:val="00B804F0"/>
    <w:rsid w:val="00B84FFB"/>
    <w:rsid w:val="00B91F23"/>
    <w:rsid w:val="00BA59B4"/>
    <w:rsid w:val="00BA78AF"/>
    <w:rsid w:val="00BC1BDD"/>
    <w:rsid w:val="00BC3D05"/>
    <w:rsid w:val="00BC6A49"/>
    <w:rsid w:val="00BC7D56"/>
    <w:rsid w:val="00BE03F1"/>
    <w:rsid w:val="00BF780A"/>
    <w:rsid w:val="00C06EBF"/>
    <w:rsid w:val="00C07343"/>
    <w:rsid w:val="00C075B1"/>
    <w:rsid w:val="00C12ADC"/>
    <w:rsid w:val="00C33701"/>
    <w:rsid w:val="00C33B73"/>
    <w:rsid w:val="00C42A2F"/>
    <w:rsid w:val="00C45FDC"/>
    <w:rsid w:val="00C477BD"/>
    <w:rsid w:val="00C61AEE"/>
    <w:rsid w:val="00C62A35"/>
    <w:rsid w:val="00C63532"/>
    <w:rsid w:val="00C64391"/>
    <w:rsid w:val="00C7546B"/>
    <w:rsid w:val="00C77E08"/>
    <w:rsid w:val="00C91A33"/>
    <w:rsid w:val="00C922C8"/>
    <w:rsid w:val="00C92F37"/>
    <w:rsid w:val="00C97D8C"/>
    <w:rsid w:val="00CA1638"/>
    <w:rsid w:val="00CA7094"/>
    <w:rsid w:val="00CB6DE1"/>
    <w:rsid w:val="00CB7532"/>
    <w:rsid w:val="00CC1E0F"/>
    <w:rsid w:val="00CC52BF"/>
    <w:rsid w:val="00CD4A61"/>
    <w:rsid w:val="00CD538B"/>
    <w:rsid w:val="00CD744F"/>
    <w:rsid w:val="00CE6029"/>
    <w:rsid w:val="00CF78EE"/>
    <w:rsid w:val="00D066BE"/>
    <w:rsid w:val="00D1120D"/>
    <w:rsid w:val="00D203AF"/>
    <w:rsid w:val="00D20641"/>
    <w:rsid w:val="00D21D1B"/>
    <w:rsid w:val="00D25DB2"/>
    <w:rsid w:val="00D34491"/>
    <w:rsid w:val="00D41B32"/>
    <w:rsid w:val="00D505F7"/>
    <w:rsid w:val="00D51410"/>
    <w:rsid w:val="00D55DD3"/>
    <w:rsid w:val="00D621C4"/>
    <w:rsid w:val="00D641C4"/>
    <w:rsid w:val="00D658E4"/>
    <w:rsid w:val="00D670C1"/>
    <w:rsid w:val="00D763A0"/>
    <w:rsid w:val="00D7717C"/>
    <w:rsid w:val="00D817AD"/>
    <w:rsid w:val="00D85B75"/>
    <w:rsid w:val="00D92D86"/>
    <w:rsid w:val="00D94C46"/>
    <w:rsid w:val="00DA1007"/>
    <w:rsid w:val="00DA36CD"/>
    <w:rsid w:val="00DB1199"/>
    <w:rsid w:val="00DB64B0"/>
    <w:rsid w:val="00DC1139"/>
    <w:rsid w:val="00DC140C"/>
    <w:rsid w:val="00DC29B3"/>
    <w:rsid w:val="00DC5F03"/>
    <w:rsid w:val="00DC6B7B"/>
    <w:rsid w:val="00DD6452"/>
    <w:rsid w:val="00DD7743"/>
    <w:rsid w:val="00DE2CCF"/>
    <w:rsid w:val="00DF7ADF"/>
    <w:rsid w:val="00E104EF"/>
    <w:rsid w:val="00E11590"/>
    <w:rsid w:val="00E164B0"/>
    <w:rsid w:val="00E21B30"/>
    <w:rsid w:val="00E22E03"/>
    <w:rsid w:val="00E23E05"/>
    <w:rsid w:val="00E24E75"/>
    <w:rsid w:val="00E36878"/>
    <w:rsid w:val="00E408D5"/>
    <w:rsid w:val="00E453AC"/>
    <w:rsid w:val="00E47AC8"/>
    <w:rsid w:val="00E50292"/>
    <w:rsid w:val="00E50546"/>
    <w:rsid w:val="00E64038"/>
    <w:rsid w:val="00E74297"/>
    <w:rsid w:val="00E747CB"/>
    <w:rsid w:val="00E75916"/>
    <w:rsid w:val="00E76B5F"/>
    <w:rsid w:val="00E76CC4"/>
    <w:rsid w:val="00E80065"/>
    <w:rsid w:val="00E80779"/>
    <w:rsid w:val="00E91EA6"/>
    <w:rsid w:val="00EA56F8"/>
    <w:rsid w:val="00EB744B"/>
    <w:rsid w:val="00EC24B2"/>
    <w:rsid w:val="00EC31D8"/>
    <w:rsid w:val="00ED1CAD"/>
    <w:rsid w:val="00ED49D4"/>
    <w:rsid w:val="00EE1377"/>
    <w:rsid w:val="00EE5C46"/>
    <w:rsid w:val="00EE7E20"/>
    <w:rsid w:val="00EF368F"/>
    <w:rsid w:val="00EF4BD9"/>
    <w:rsid w:val="00F0053D"/>
    <w:rsid w:val="00F064F5"/>
    <w:rsid w:val="00F07FA1"/>
    <w:rsid w:val="00F107FE"/>
    <w:rsid w:val="00F1469D"/>
    <w:rsid w:val="00F24A6A"/>
    <w:rsid w:val="00F35296"/>
    <w:rsid w:val="00F35A14"/>
    <w:rsid w:val="00F35B60"/>
    <w:rsid w:val="00F42D55"/>
    <w:rsid w:val="00F442D8"/>
    <w:rsid w:val="00F51A4D"/>
    <w:rsid w:val="00F5750D"/>
    <w:rsid w:val="00F6564A"/>
    <w:rsid w:val="00F66E06"/>
    <w:rsid w:val="00F84E65"/>
    <w:rsid w:val="00F861A2"/>
    <w:rsid w:val="00F87A4F"/>
    <w:rsid w:val="00F95AF8"/>
    <w:rsid w:val="00FA01EF"/>
    <w:rsid w:val="00FB01A0"/>
    <w:rsid w:val="00FB3905"/>
    <w:rsid w:val="00FB50C8"/>
    <w:rsid w:val="00FB73E3"/>
    <w:rsid w:val="00FC13D8"/>
    <w:rsid w:val="00FC374C"/>
    <w:rsid w:val="00FC7017"/>
    <w:rsid w:val="00FD1F16"/>
    <w:rsid w:val="00FD6331"/>
    <w:rsid w:val="00FE251F"/>
    <w:rsid w:val="00FF12E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0C66AC"/>
  <w15:chartTrackingRefBased/>
  <w15:docId w15:val="{A5D9F90E-CC56-4DB3-A84E-547E398E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Styl2Vlevo127cmPrvndek0cm">
    <w:name w:val="Styl Styl2 + Vlevo:  127 cm První řádek:  0 cm"/>
    <w:basedOn w:val="Normln"/>
    <w:rsid w:val="00D20641"/>
    <w:pPr>
      <w:keepNext/>
      <w:numPr>
        <w:ilvl w:val="2"/>
        <w:numId w:val="1"/>
      </w:numPr>
      <w:suppressAutoHyphens/>
      <w:spacing w:before="240" w:after="60" w:line="264" w:lineRule="auto"/>
      <w:outlineLvl w:val="2"/>
    </w:pPr>
    <w:rPr>
      <w:rFonts w:ascii="Arial" w:hAnsi="Arial"/>
      <w:b/>
      <w:bCs/>
      <w:szCs w:val="20"/>
      <w:lang w:eastAsia="ar-SA"/>
    </w:rPr>
  </w:style>
  <w:style w:type="paragraph" w:styleId="Zhlav">
    <w:name w:val="header"/>
    <w:basedOn w:val="Normln"/>
    <w:rsid w:val="008126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1263D"/>
    <w:pPr>
      <w:tabs>
        <w:tab w:val="center" w:pos="4536"/>
        <w:tab w:val="right" w:pos="9072"/>
      </w:tabs>
    </w:pPr>
  </w:style>
  <w:style w:type="paragraph" w:customStyle="1" w:styleId="Radabodschze">
    <w:name w:val="Rada bod schůze"/>
    <w:basedOn w:val="Normln"/>
    <w:rsid w:val="0081263D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1121FF"/>
    <w:pPr>
      <w:ind w:left="720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uiPriority w:val="99"/>
    <w:rsid w:val="001121FF"/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rsid w:val="00B704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70443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B01A0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01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B01A0"/>
  </w:style>
  <w:style w:type="paragraph" w:styleId="Pedmtkomente">
    <w:name w:val="annotation subject"/>
    <w:basedOn w:val="Textkomente"/>
    <w:next w:val="Textkomente"/>
    <w:link w:val="PedmtkomenteChar"/>
    <w:rsid w:val="00FB01A0"/>
    <w:rPr>
      <w:b/>
      <w:bCs/>
    </w:rPr>
  </w:style>
  <w:style w:type="character" w:customStyle="1" w:styleId="PedmtkomenteChar">
    <w:name w:val="Předmět komentáře Char"/>
    <w:link w:val="Pedmtkomente"/>
    <w:rsid w:val="00FB01A0"/>
    <w:rPr>
      <w:b/>
      <w:bCs/>
    </w:rPr>
  </w:style>
  <w:style w:type="paragraph" w:styleId="Odstavecseseznamem">
    <w:name w:val="List Paragraph"/>
    <w:basedOn w:val="Normln"/>
    <w:uiPriority w:val="34"/>
    <w:qFormat/>
    <w:rsid w:val="00DC14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370152"/>
    <w:rPr>
      <w:b/>
      <w:bCs/>
    </w:rPr>
  </w:style>
  <w:style w:type="paragraph" w:styleId="Normlnweb">
    <w:name w:val="Normal (Web)"/>
    <w:basedOn w:val="Normln"/>
    <w:uiPriority w:val="99"/>
    <w:unhideWhenUsed/>
    <w:rsid w:val="00A276DC"/>
    <w:pPr>
      <w:spacing w:before="100" w:beforeAutospacing="1" w:after="100" w:afterAutospacing="1"/>
    </w:pPr>
  </w:style>
  <w:style w:type="character" w:customStyle="1" w:styleId="ZpatChar">
    <w:name w:val="Zápatí Char"/>
    <w:basedOn w:val="Standardnpsmoodstavce"/>
    <w:link w:val="Zpat"/>
    <w:rsid w:val="00864324"/>
    <w:rPr>
      <w:sz w:val="24"/>
      <w:szCs w:val="24"/>
    </w:rPr>
  </w:style>
  <w:style w:type="character" w:styleId="Hypertextovodkaz">
    <w:name w:val="Hyperlink"/>
    <w:basedOn w:val="Standardnpsmoodstavce"/>
    <w:rsid w:val="003C11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113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5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-touris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k-touris.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k-touris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AAB1-08DC-410A-8960-67D28073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Mgr. Radka Pluskalová</dc:creator>
  <cp:keywords/>
  <cp:lastModifiedBy>Tetera Josef</cp:lastModifiedBy>
  <cp:revision>2</cp:revision>
  <cp:lastPrinted>2012-08-23T06:16:00Z</cp:lastPrinted>
  <dcterms:created xsi:type="dcterms:W3CDTF">2024-02-20T06:25:00Z</dcterms:created>
  <dcterms:modified xsi:type="dcterms:W3CDTF">2024-02-20T06:25:00Z</dcterms:modified>
</cp:coreProperties>
</file>