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763D6A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color w:val="000000" w:themeColor="text1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 xml:space="preserve">Sb., správní řád, ve znění pozdějších právních předpisů, a se zákonem č. 250/2000 Sb., o rozpočtových pravidlech územních </w:t>
      </w:r>
      <w:r w:rsidR="009A3DA5" w:rsidRPr="00763D6A">
        <w:rPr>
          <w:rFonts w:ascii="Arial" w:eastAsia="Times New Roman" w:hAnsi="Arial" w:cs="Arial"/>
          <w:color w:val="000000" w:themeColor="text1"/>
          <w:lang w:eastAsia="cs-CZ"/>
        </w:rPr>
        <w:t>rozpočtů, ve zně</w:t>
      </w:r>
      <w:r w:rsidRPr="00763D6A">
        <w:rPr>
          <w:rFonts w:ascii="Arial" w:eastAsia="Times New Roman" w:hAnsi="Arial" w:cs="Arial"/>
          <w:color w:val="000000" w:themeColor="text1"/>
          <w:lang w:eastAsia="cs-CZ"/>
        </w:rPr>
        <w:t>ní pozdějších právních předpisů</w:t>
      </w:r>
    </w:p>
    <w:p w14:paraId="4F26B71C" w14:textId="77777777" w:rsidR="00E62519" w:rsidRPr="00763D6A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Olomoucký kraj</w:t>
      </w:r>
    </w:p>
    <w:p w14:paraId="1B4B99BF" w14:textId="43BC5C86" w:rsidR="00E62519" w:rsidRPr="00763D6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Sídlo: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 xml:space="preserve">Jeremenkova </w:t>
      </w:r>
      <w:r w:rsidR="008A2521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1191/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40a, 779</w:t>
      </w:r>
      <w:r w:rsidR="008A2521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00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Olomouc</w:t>
      </w:r>
    </w:p>
    <w:p w14:paraId="3E55EF6E" w14:textId="30AA3642" w:rsidR="00E62519" w:rsidRPr="00763D6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</w:t>
      </w:r>
      <w:r w:rsidR="001A6B28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60609460</w:t>
      </w:r>
    </w:p>
    <w:p w14:paraId="01CF2DE6" w14:textId="77777777" w:rsidR="00E62519" w:rsidRPr="00763D6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DIČ: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CZ60609460</w:t>
      </w:r>
    </w:p>
    <w:p w14:paraId="1498ACEE" w14:textId="043FAB6C" w:rsidR="00717504" w:rsidRPr="00763D6A" w:rsidRDefault="00763D6A" w:rsidP="00717504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763D6A">
        <w:rPr>
          <w:rFonts w:ascii="Arial" w:hAnsi="Arial" w:cs="Arial"/>
          <w:color w:val="000000" w:themeColor="text1"/>
          <w:sz w:val="24"/>
          <w:szCs w:val="24"/>
        </w:rPr>
        <w:t xml:space="preserve">Zastoupený:   </w:t>
      </w:r>
      <w:r w:rsidR="00717504" w:rsidRPr="00763D6A">
        <w:rPr>
          <w:rFonts w:ascii="Arial" w:hAnsi="Arial" w:cs="Arial"/>
          <w:color w:val="000000" w:themeColor="text1"/>
          <w:sz w:val="24"/>
          <w:szCs w:val="24"/>
        </w:rPr>
        <w:t>Daliborem Horákem, 2. náměstkem hejtmana Olomouckého kraje, na základě pověření ze dne 30. 10.2020</w:t>
      </w:r>
    </w:p>
    <w:p w14:paraId="402EDF7B" w14:textId="77777777" w:rsidR="00717504" w:rsidRPr="00763D6A" w:rsidRDefault="00717504" w:rsidP="00717504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763D6A">
        <w:rPr>
          <w:rFonts w:ascii="Arial" w:hAnsi="Arial" w:cs="Arial"/>
          <w:color w:val="000000" w:themeColor="text1"/>
          <w:sz w:val="24"/>
          <w:szCs w:val="24"/>
        </w:rPr>
        <w:t>Bankovní spojení:</w:t>
      </w:r>
      <w:r w:rsidRPr="00763D6A">
        <w:rPr>
          <w:rFonts w:ascii="Arial" w:hAnsi="Arial" w:cs="Arial"/>
          <w:color w:val="000000" w:themeColor="text1"/>
          <w:sz w:val="24"/>
          <w:szCs w:val="24"/>
        </w:rPr>
        <w:tab/>
        <w:t>27-4228330207/0100, Komerční banka, a.s.</w:t>
      </w:r>
      <w:r w:rsidRPr="00763D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140544A" w14:textId="77777777" w:rsidR="00717504" w:rsidRPr="00763D6A" w:rsidRDefault="00717504" w:rsidP="00717504">
      <w:pPr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(dále jen „</w:t>
      </w:r>
      <w:r w:rsidRPr="00763D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poskytovatel“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6045078B" w14:textId="77777777" w:rsidR="00E62519" w:rsidRPr="00763D6A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6F05EE3" w:rsidR="009A3DA5" w:rsidRPr="00564C9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564C9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 w:rsidRPr="00564C9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názvu akce</w:t>
      </w:r>
      <w:r w:rsidR="00372DE5" w:rsidRPr="00564C9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C560F8" w:rsidRPr="00564C9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372DE5" w:rsidRPr="00564C9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C560F8" w:rsidRPr="00564C9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372DE5" w:rsidRPr="00564C9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</w:t>
      </w:r>
      <w:r w:rsidR="00ED779F" w:rsidRPr="00564C9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činnost</w:t>
      </w:r>
      <w:r w:rsidR="00C560F8" w:rsidRPr="00564C9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ED779F" w:rsidRPr="00564C9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394F5729" w:rsidR="009A3DA5" w:rsidRPr="00CE598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14161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</w:t>
      </w:r>
      <w:r w:rsidR="00763D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. </w:t>
      </w:r>
      <w:r w:rsidR="00763D6A"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(</w:t>
      </w:r>
      <w:r w:rsidR="00F73B3C" w:rsidRPr="00CE598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modrá věta se ve smlouvě </w:t>
      </w:r>
      <w:r w:rsidR="00F73B3C" w:rsidRPr="00CE598E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372DE5" w:rsidRPr="00CE598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7059051D" w:rsidR="009A3DA5" w:rsidRPr="00ED35C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investiční/neinvestiční</w:t>
      </w:r>
      <w:r w:rsidRPr="00763D6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="008A7767" w:rsidRPr="00763D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="001C4FA2" w:rsidRPr="00763D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</w:t>
      </w:r>
      <w:r w:rsidR="001C4F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C269EAE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D424C5">
        <w:rPr>
          <w:rFonts w:ascii="Arial" w:hAnsi="Arial" w:cs="Arial"/>
          <w:sz w:val="24"/>
          <w:szCs w:val="24"/>
        </w:rPr>
        <w:t>příjemcem</w:t>
      </w:r>
      <w:r w:rsidRPr="00D424C5">
        <w:rPr>
          <w:rFonts w:ascii="Arial" w:hAnsi="Arial" w:cs="Arial"/>
          <w:sz w:val="24"/>
          <w:szCs w:val="24"/>
        </w:rPr>
        <w:t xml:space="preserve"> </w:t>
      </w:r>
      <w:r w:rsidR="004125B7">
        <w:rPr>
          <w:rFonts w:ascii="Arial" w:hAnsi="Arial" w:cs="Arial"/>
          <w:sz w:val="24"/>
          <w:szCs w:val="24"/>
        </w:rPr>
        <w:t xml:space="preserve">v </w:t>
      </w:r>
      <w:r w:rsidR="004F78F3">
        <w:rPr>
          <w:rFonts w:ascii="Arial" w:hAnsi="Arial" w:cs="Arial"/>
          <w:sz w:val="24"/>
          <w:szCs w:val="24"/>
        </w:rPr>
        <w:t xml:space="preserve">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 w:rsidR="004125B7"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7B6F57" w:rsidRPr="00D424C5">
        <w:rPr>
          <w:rFonts w:ascii="Arial" w:hAnsi="Arial" w:cs="Arial"/>
          <w:sz w:val="24"/>
          <w:szCs w:val="24"/>
        </w:rPr>
        <w:t xml:space="preserve">příjemce </w:t>
      </w:r>
      <w:r w:rsidRPr="00D424C5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D424C5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D424C5">
        <w:rPr>
          <w:rFonts w:ascii="Arial" w:hAnsi="Arial" w:cs="Arial"/>
          <w:sz w:val="24"/>
          <w:szCs w:val="24"/>
        </w:rPr>
        <w:t>taktéž považována za dotaci investiční</w:t>
      </w:r>
      <w:r w:rsidRPr="00D424C5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756AD296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investiční/neinvestiční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52D8D5EC" w14:textId="33E605EE" w:rsidR="00584579" w:rsidRPr="00584579" w:rsidRDefault="000D1384" w:rsidP="005845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D138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410/2009 Sb., kterou se provádějí některá ustanovení zákona č. 563/1991 Sb., o účetnictví, ve znění pozdějších předpisů, pro některé vybrané účetní jednotky (dále jen „cit. vyhláška“), 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78E7D7B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17504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11_01_Program na podporu poskytovatelů paliativní péče v roce 2024</w:t>
      </w:r>
      <w:r w:rsidR="00ED68BB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 dotační titul </w:t>
      </w:r>
      <w:r w:rsidR="00717504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11_01_01_Podpora poskytovatelů lůžkové paliativní péče</w:t>
      </w:r>
      <w:r w:rsidR="00AC34BB"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.</w:t>
      </w:r>
      <w:r w:rsidR="00ED68BB"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314F8521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028D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10.5 </w:t>
      </w:r>
      <w:r w:rsidR="00F055D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Pravidel)</w:t>
      </w:r>
      <w:r w:rsidR="00271616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415845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415845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0DD4105" w14:textId="77777777" w:rsidR="00763D6A" w:rsidRPr="00763D6A" w:rsidRDefault="009A3DA5" w:rsidP="00763D6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dotaci nejpozději do </w:t>
      </w:r>
      <w:r w:rsidR="00CE598E" w:rsidRPr="00763D6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……</w:t>
      </w:r>
      <w:r w:rsidR="00E20CFA" w:rsidRPr="00763D6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.</w:t>
      </w:r>
      <w:r w:rsidR="00E20CFA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3C9258E6" w14:textId="41DCDB7E" w:rsidR="009A3DA5" w:rsidRPr="00763D6A" w:rsidRDefault="009A3DA5" w:rsidP="00763D6A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Příjemce je oprávněn použít dotaci také na úhradu </w:t>
      </w:r>
      <w:r w:rsidR="003D1870"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výdajů</w:t>
      </w:r>
      <w:r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po</w:t>
      </w:r>
      <w:r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užití dotace dle čl. II odst. </w:t>
      </w:r>
      <w:r w:rsidR="00E20CFA"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1 této smlouvy v období od 1. 1. 2024</w:t>
      </w:r>
      <w:r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do </w:t>
      </w:r>
      <w:r w:rsidR="007F11D1"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nabytí účinnosti </w:t>
      </w:r>
      <w:r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této smlouvy.</w:t>
      </w:r>
    </w:p>
    <w:p w14:paraId="2C622E70" w14:textId="09911B41" w:rsidR="00B67C75" w:rsidRPr="00763D6A" w:rsidRDefault="00742626" w:rsidP="00CB5336">
      <w:pPr>
        <w:spacing w:after="6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…..…</w:t>
      </w:r>
      <w:proofErr w:type="gramEnd"/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nejméně</w:t>
      </w:r>
      <w:r w:rsidR="0022605A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E20CFA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50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763D6A">
        <w:rPr>
          <w:rFonts w:ascii="Arial" w:hAnsi="Arial" w:cs="Arial"/>
          <w:color w:val="000000" w:themeColor="text1"/>
          <w:sz w:val="24"/>
          <w:szCs w:val="24"/>
        </w:rPr>
        <w:t xml:space="preserve">v rámci vyúčtování dotace vrátit poskytovateli část dotace tak, aby výše </w:t>
      </w:r>
      <w:r w:rsidR="00B303FD" w:rsidRPr="00763D6A">
        <w:rPr>
          <w:rFonts w:ascii="Arial" w:hAnsi="Arial" w:cs="Arial"/>
          <w:color w:val="000000" w:themeColor="text1"/>
          <w:sz w:val="24"/>
          <w:szCs w:val="24"/>
        </w:rPr>
        <w:t xml:space="preserve">dotace </w:t>
      </w:r>
      <w:r w:rsidRPr="00763D6A">
        <w:rPr>
          <w:rFonts w:ascii="Arial" w:hAnsi="Arial" w:cs="Arial"/>
          <w:color w:val="000000" w:themeColor="text1"/>
          <w:sz w:val="24"/>
          <w:szCs w:val="24"/>
        </w:rPr>
        <w:t xml:space="preserve">odpovídala </w:t>
      </w:r>
      <w:r w:rsidR="00F412FF" w:rsidRPr="00763D6A">
        <w:rPr>
          <w:rFonts w:ascii="Arial" w:hAnsi="Arial" w:cs="Arial"/>
          <w:color w:val="000000" w:themeColor="text1"/>
          <w:sz w:val="24"/>
          <w:szCs w:val="24"/>
        </w:rPr>
        <w:t xml:space="preserve">nejvýše </w:t>
      </w:r>
      <w:r w:rsidR="00E20CFA" w:rsidRPr="00763D6A">
        <w:rPr>
          <w:rFonts w:ascii="Arial" w:hAnsi="Arial" w:cs="Arial"/>
          <w:color w:val="000000" w:themeColor="text1"/>
          <w:sz w:val="24"/>
          <w:szCs w:val="24"/>
        </w:rPr>
        <w:t>50</w:t>
      </w:r>
      <w:r w:rsidRPr="00763D6A">
        <w:rPr>
          <w:rFonts w:ascii="Arial" w:hAnsi="Arial" w:cs="Arial"/>
          <w:color w:val="000000" w:themeColor="text1"/>
          <w:sz w:val="24"/>
          <w:szCs w:val="24"/>
        </w:rPr>
        <w:t xml:space="preserve"> % celkových skutečně vynaložených uznatelných výdajů na účel dle čl. I odst. 2 a 4 této smlouvy.</w:t>
      </w:r>
    </w:p>
    <w:p w14:paraId="14ACB8E3" w14:textId="4E75444C" w:rsidR="00CB5336" w:rsidRPr="00763D6A" w:rsidRDefault="00304E20" w:rsidP="00763D6A">
      <w:pPr>
        <w:spacing w:after="120"/>
        <w:ind w:left="567" w:firstLine="0"/>
        <w:rPr>
          <w:rFonts w:ascii="Arial" w:eastAsia="Times New Roman" w:hAnsi="Arial" w:cs="Arial"/>
          <w:i/>
          <w:strike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á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v tomto čl. II odst. 2 stanoven</w:t>
      </w:r>
      <w:r w:rsidR="002F375B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 použití dotace</w:t>
      </w:r>
      <w:r w:rsidR="00E20CFA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9182769" w:rsidR="009A3DA5" w:rsidRPr="00763D6A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CE598E" w:rsidRPr="00763D6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……</w:t>
      </w:r>
      <w:proofErr w:type="gramStart"/>
      <w:r w:rsidR="00CE598E" w:rsidRPr="00763D6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…..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předložit</w:t>
      </w:r>
      <w:proofErr w:type="gramEnd"/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poskytovateli vyúčtování poskytnuté </w:t>
      </w:r>
      <w:r w:rsidR="00453D92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dotace</w:t>
      </w:r>
      <w:r w:rsidR="001738B0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  <w:r w:rsidR="00453D92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1738B0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vyplněné prostřednictvím </w:t>
      </w:r>
      <w:r w:rsidR="00B03502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systému, v němž </w:t>
      </w:r>
      <w:r w:rsidR="001738B0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podal žádost o poskytnutí dotace, a to </w:t>
      </w:r>
      <w:r w:rsidR="00FF6288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6F4008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dodáním </w:t>
      </w:r>
      <w:r w:rsidR="001738B0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 datové schránky poskytovatele nebo </w:t>
      </w:r>
      <w:r w:rsidR="00FF6288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listinné podobě </w:t>
      </w:r>
      <w:r w:rsidR="001738B0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1738B0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mlouvy </w:t>
      </w:r>
      <w:r w:rsidR="00453D92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„vyúčtování“).</w:t>
      </w:r>
      <w:r w:rsidR="00F47F09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F47F09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763D6A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A9730D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 </w:t>
      </w:r>
      <w:r w:rsidR="007373B9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</w:t>
      </w:r>
      <w:r w:rsidR="00033B88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zoru </w:t>
      </w:r>
      <w:r w:rsidR="001263E2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7373B9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který </w:t>
      </w:r>
      <w:r w:rsidR="0006491F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 zveřejněn v systému RAP</w:t>
      </w:r>
      <w:r w:rsidR="00F402D1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A9730D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9730D"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Za příjem se považují veškeré </w:t>
      </w:r>
      <w:r w:rsidR="00E93DF9" w:rsidRPr="00763D6A">
        <w:rPr>
          <w:rFonts w:ascii="Arial" w:hAnsi="Arial" w:cs="Arial"/>
          <w:color w:val="000000" w:themeColor="text1"/>
          <w:sz w:val="24"/>
          <w:szCs w:val="24"/>
        </w:rPr>
        <w:t xml:space="preserve">příjmy uvedené v odst. </w:t>
      </w:r>
      <w:r w:rsidR="0006491F" w:rsidRPr="00763D6A">
        <w:rPr>
          <w:rFonts w:ascii="Arial" w:hAnsi="Arial" w:cs="Arial"/>
          <w:color w:val="000000" w:themeColor="text1"/>
          <w:sz w:val="24"/>
          <w:szCs w:val="24"/>
        </w:rPr>
        <w:t>10.</w:t>
      </w:r>
      <w:r w:rsidR="0006491F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310EA401" w:rsidR="00822CBA" w:rsidRPr="00E20CF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E20CF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763D6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rozpisem dodávky (případně dodacím listem), popřípadě jiných účetních dokladů včetně příloh, prokazujících 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vynaložení výdajů,</w:t>
      </w:r>
    </w:p>
    <w:p w14:paraId="6A6233AD" w14:textId="77777777" w:rsidR="00A9730D" w:rsidRPr="00763D6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979ECAE" w:rsidR="00A9730D" w:rsidRPr="00763D6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4FA280F2" w14:textId="77777777" w:rsidR="00E20CFA" w:rsidRPr="00763D6A" w:rsidRDefault="00E20CFA" w:rsidP="00E20CFA">
      <w:pPr>
        <w:numPr>
          <w:ilvl w:val="0"/>
          <w:numId w:val="18"/>
        </w:numPr>
        <w:tabs>
          <w:tab w:val="clear" w:pos="1647"/>
          <w:tab w:val="num" w:pos="1211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hAnsi="Arial" w:cs="Arial"/>
          <w:color w:val="000000" w:themeColor="text1"/>
          <w:sz w:val="24"/>
          <w:szCs w:val="24"/>
        </w:rPr>
        <w:t>jmenným seznamem pacientů, kteří byli v rámci realizace akce příjemce v období od 1. 1. 2024 do 31. 12. 2024 hospitalizováni na lůžku paliativní péče,</w:t>
      </w:r>
    </w:p>
    <w:p w14:paraId="6579ABF8" w14:textId="416351BE" w:rsidR="00E20CFA" w:rsidRPr="00763D6A" w:rsidRDefault="00E20CFA" w:rsidP="00E20CF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hAnsi="Arial" w:cs="Arial"/>
          <w:color w:val="000000" w:themeColor="text1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smlouvy.</w:t>
      </w:r>
    </w:p>
    <w:p w14:paraId="38FAC365" w14:textId="4DA69233" w:rsidR="00A9730D" w:rsidRPr="00763D6A" w:rsidRDefault="00622110" w:rsidP="00A9730D">
      <w:pPr>
        <w:spacing w:after="120"/>
        <w:ind w:left="567" w:firstLine="0"/>
        <w:rPr>
          <w:rFonts w:ascii="Arial" w:eastAsia="Times New Roman" w:hAnsi="Arial" w:cs="Arial"/>
          <w:i/>
          <w:strike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</w:t>
      </w:r>
      <w:r w:rsidR="00DB2A18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lhůtě </w:t>
      </w:r>
      <w:r w:rsidR="00367EAE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pro předložení vyúčtování </w:t>
      </w:r>
      <w:r w:rsidR="00A9730D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předloží </w:t>
      </w:r>
      <w:r w:rsidR="00367EAE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</w:t>
      </w:r>
      <w:r w:rsidR="00A9730D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poskytovateli </w:t>
      </w:r>
      <w:r w:rsidR="00E922A1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také </w:t>
      </w:r>
      <w:r w:rsidR="00A9730D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závěrečnou zprávu</w:t>
      </w:r>
      <w:r w:rsidR="00A25ABA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a to </w:t>
      </w:r>
      <w:r w:rsidR="00D71D10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6F4008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dodá</w:t>
      </w:r>
      <w:r w:rsidR="00D71D10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ním do datové schránky poskytovatele nebo </w:t>
      </w:r>
      <w:r w:rsidR="00551B88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551B88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mlouvy.</w:t>
      </w:r>
      <w:r w:rsidR="00EA3E5D" w:rsidRPr="00763D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</w:p>
    <w:p w14:paraId="7E8518F3" w14:textId="51E8924A" w:rsidR="00E20CFA" w:rsidRPr="00763D6A" w:rsidRDefault="00E20CFA" w:rsidP="00E20CFA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Závěrečná zpráva musí obsahovat</w:t>
      </w:r>
      <w:r w:rsidRPr="00763D6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763D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763D6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a ukázku propagačních materiálů, pokud byly použity. </w:t>
      </w:r>
    </w:p>
    <w:p w14:paraId="758E3118" w14:textId="28159CF3" w:rsidR="00A9730D" w:rsidRPr="00763D6A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případě, že dotace nebyla použita v celé výši v</w:t>
      </w:r>
      <w:r w:rsidR="00B915D2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</w:t>
      </w:r>
      <w:r w:rsidR="00B915D2" w:rsidRPr="00763D6A" w:rsidDel="00B915D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lhůtě uvedené v čl. II odst. 2 této smlouvy,</w:t>
      </w:r>
      <w:r w:rsidR="007F2271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celkové předpokládané uznatelné výdaje dle čl. II odst. 2 této smlouvy</w:t>
      </w:r>
      <w:r w:rsidR="007F2271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  <w:r w:rsidR="00E77FF2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téže lhůtě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e, o ni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67C984BF" w:rsidR="009A3DA5" w:rsidRPr="00763D6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</w:t>
      </w:r>
      <w:r w:rsidR="0063512A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22 zákona č. 250/2000</w:t>
      </w:r>
      <w:r w:rsidR="0063512A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/nebo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závěrečnou zprávu </w:t>
      </w:r>
      <w:r w:rsidR="006E5E62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ve lhůtě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a/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závěrečná zpráva </w:t>
      </w:r>
      <w:r w:rsidR="004E2948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nebudou předloženy způsobem stanoveným v čl. II odst. 4 této smlouvy nebo 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a/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763D6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63D6A" w:rsidRPr="00763D6A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763D6A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763D6A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763D6A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763D6A" w:rsidRPr="00763D6A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763D6A" w:rsidRDefault="000D1B74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763D6A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763D6A" w:rsidRPr="00763D6A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763D6A" w:rsidRDefault="003D212E" w:rsidP="00E34FDB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uplynutí </w:t>
            </w: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lhůt</w:t>
            </w:r>
            <w:r w:rsidR="00E34FDB"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y</w:t>
            </w: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é</w:t>
            </w: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763D6A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763D6A" w:rsidRPr="00763D6A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763D6A" w:rsidRDefault="000D1B74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Předložení vyúčtování a</w:t>
            </w:r>
            <w:r w:rsidR="00E34FDB"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/nebo</w:t>
            </w: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763D6A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2 %</w:t>
            </w:r>
          </w:p>
        </w:tc>
      </w:tr>
      <w:tr w:rsidR="00763D6A" w:rsidRPr="00763D6A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763D6A" w:rsidRDefault="000D1B74" w:rsidP="003F76C9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nebo opraveného </w:t>
            </w: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vyúčtování a</w:t>
            </w:r>
            <w:r w:rsidR="00D87EA0"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/nebo</w:t>
            </w: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15 denní </w:t>
            </w: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lhůty</w:t>
            </w:r>
            <w:r w:rsidR="000B78EF"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od doručení výzvy poskytovatele</w:t>
            </w: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k doplnění </w:t>
            </w:r>
            <w:r w:rsidR="00D87EA0"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nebo opravě </w:t>
            </w: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vyúčtování</w:t>
            </w:r>
            <w:r w:rsidR="00D87EA0"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763D6A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763D6A" w:rsidRPr="00763D6A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763D6A" w:rsidRDefault="000D1B74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763D6A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763D6A" w:rsidRPr="00763D6A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763D6A" w:rsidRDefault="000D1B74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763D6A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763D6A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763D6A" w:rsidRDefault="000D1B74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763D6A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763D6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763D6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</w:p>
    <w:p w14:paraId="52AFF334" w14:textId="77777777" w:rsidR="00E20CFA" w:rsidRPr="00763D6A" w:rsidRDefault="00E20CFA" w:rsidP="00E20CFA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(2024) na účet poskytovatele č. </w:t>
      </w:r>
      <w:r w:rsidRPr="00763D6A">
        <w:rPr>
          <w:rFonts w:ascii="Arial" w:hAnsi="Arial" w:cs="Arial"/>
          <w:color w:val="000000" w:themeColor="text1"/>
          <w:sz w:val="24"/>
          <w:szCs w:val="24"/>
        </w:rPr>
        <w:t xml:space="preserve">27-4228330207/0100, Komerční banka, a.s. V případě, že je vratka realizována následující rok (2025) pak se použije příjmový účet č. 27-4228320287/0100. Případný odvod či penále se hradí na účet poskytovatele č. č. 27-4228320287/0100, Komerční banka, a.s. </w:t>
      </w:r>
    </w:p>
    <w:p w14:paraId="3C925913" w14:textId="77777777" w:rsidR="009A3DA5" w:rsidRPr="00763D6A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0F739E2" w14:textId="6874EB60" w:rsidR="00E20CFA" w:rsidRPr="00763D6A" w:rsidRDefault="00E20CFA" w:rsidP="00E20CFA">
      <w:pPr>
        <w:numPr>
          <w:ilvl w:val="0"/>
          <w:numId w:val="20"/>
        </w:numPr>
        <w:tabs>
          <w:tab w:val="num" w:pos="747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minimálně 1 roku od obdržení dotace, dále je příjemce povinen označit propagační materiály, vztahující se k účelu dotace, logem poskytovatele (jsou-li vydávány), a </w:t>
      </w:r>
      <w:r w:rsidR="00CE598E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 stejnou dobu 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umístit reklamní panel nebo obdobné zařízení, s logem poskytovatele do místa, ve kterém je realizována podpořená akce</w:t>
      </w:r>
      <w:r w:rsidRPr="00763D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</w:t>
      </w:r>
    </w:p>
    <w:p w14:paraId="23E63567" w14:textId="4299B5C1" w:rsidR="00836AA2" w:rsidRPr="00763D6A" w:rsidRDefault="00836AA2" w:rsidP="00836AA2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pořídit fotodokumentaci o propagaci </w:t>
      </w:r>
      <w:r w:rsidR="0031285D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poskytovatele při akci podporované dle této smlouvy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poskytovatele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763D6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63D6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Pokud bude příjemce při realizaci akce, na n</w:t>
      </w:r>
      <w:r w:rsidR="00255AE2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zadávání 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veřejných zakáz</w:t>
      </w:r>
      <w:r w:rsidR="000647E7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763D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Pr="00763D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odst.</w:t>
      </w:r>
      <w:r w:rsidR="0014388C" w:rsidRPr="00763D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6</w:t>
      </w:r>
      <w:r w:rsidRPr="00763D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="001A5E4D" w:rsidRPr="00763D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nebo </w:t>
      </w:r>
      <w:r w:rsidR="00431A0A" w:rsidRPr="00763D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="001A5E4D" w:rsidRPr="00763D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odst. </w:t>
      </w:r>
      <w:r w:rsidR="00153489" w:rsidRPr="00763D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13</w:t>
      </w:r>
      <w:r w:rsidR="001A5E4D" w:rsidRPr="00763D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431A0A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832B91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431A0A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832B91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692201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</w:t>
      </w:r>
      <w:r w:rsidR="00685A0E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bude dotace </w:t>
      </w:r>
      <w:r w:rsidR="007100B4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poskytována v režimu de minimis. V takovém případě se </w:t>
      </w:r>
      <w:r w:rsidR="003A032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5D7527F1" w14:textId="77777777" w:rsidR="00BF178A" w:rsidRPr="007D6BC2" w:rsidRDefault="00BF178A" w:rsidP="00BF178A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7D6BC2">
        <w:rPr>
          <w:rFonts w:ascii="Arial" w:hAnsi="Arial" w:cs="Arial"/>
          <w:sz w:val="24"/>
          <w:szCs w:val="24"/>
          <w:lang w:eastAsia="cs-CZ"/>
        </w:rPr>
        <w:t>Příjemce bere na vědomí, že dotace je na základě této smlouvy poskytována dle Nařízení Komise (EU) 2023/2831 ze dne 13. prosince 2023 o použití článků 107 a 108 Smlouvy o fungování Evropské unie na podporu de minimis, které ke dni 1. 1. 2024 nahrazuje nařízení Komise (EU) č. 1407/2013 ze dne 18. prosince 2013 o použití článků 107 a 108 Smlouvy o fungování Evropské unie na podporu de minimis. (Po dobu přechodného období, tj. nejdéle do 30. 6. 2024 bude podpora poskytována dle Nařízení Komise (EU) č. 1407/2013).</w:t>
      </w:r>
    </w:p>
    <w:p w14:paraId="728A3F4F" w14:textId="77777777" w:rsidR="00BF178A" w:rsidRPr="007D6BC2" w:rsidRDefault="00BF178A" w:rsidP="00BF178A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7D6BC2">
        <w:rPr>
          <w:rFonts w:ascii="Arial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obdobích, respektive v případě, že tato smlouva nabyde účinnosti po 30. 6. 2024, ve třech letech předcházejících účinnosti této smlouvy, vznikl spojením podniků, nabytím podniku nebo rozdělením (rozštěpením nebo odštěpením) podniku, a tyto poskytnuté informace se ke dni uzavření této smlouvy nezměnily.</w:t>
      </w:r>
    </w:p>
    <w:p w14:paraId="3CABB615" w14:textId="77777777" w:rsidR="00BF178A" w:rsidRPr="007D6BC2" w:rsidRDefault="00BF178A" w:rsidP="00BF178A">
      <w:pPr>
        <w:numPr>
          <w:ilvl w:val="0"/>
          <w:numId w:val="19"/>
        </w:numPr>
        <w:spacing w:after="120"/>
      </w:pPr>
      <w:r w:rsidRPr="007D6BC2">
        <w:rPr>
          <w:rFonts w:ascii="Arial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minimis (uveřejněno v úředním věstníku EU dne 24. 12. 2013 č. L 352/1), respektive v případě, že tato smlouva nabyde účinnosti po 30. 6. 2024, zda naplňuje kritéria definovaná v čl. 2 Nařízení Komise (EU) 2023/2831 ze dne 13. prosince 2023 o použití článků 107 a 108 Smlouvy o fungování Evropské unie na podporu de minimis, které ke dni 1. 1. 2024 nahrazuje nařízení Komise (EU) č. 1407/2013 ze dne 18. prosince 2013 o použití článků 107 a 108 Smlouvy o fungování Evropské unie na podporu de minimis,  včetně uvedení identifikace subjektů, s nimiž jeden podnik tvoří, a ke dni uzavření této smlouvy nedošlo ke změně těchto sdělených údajů. </w:t>
      </w:r>
    </w:p>
    <w:p w14:paraId="7F3AF5D1" w14:textId="77777777" w:rsidR="00BF178A" w:rsidRPr="007D6BC2" w:rsidRDefault="00BF178A" w:rsidP="00BF178A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6BC2">
        <w:rPr>
          <w:rFonts w:ascii="Arial" w:hAnsi="Arial" w:cs="Arial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respektive v případě, že tato smlouva nabyde účinnosti po 30. 6. 2024, ve třech letech předcházejících účinnosti této smlouvy,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B55A6A" w:rsidRDefault="00A62D21" w:rsidP="00B55A6A">
      <w:pPr>
        <w:pStyle w:val="Odstavecseseznamem"/>
        <w:numPr>
          <w:ilvl w:val="0"/>
          <w:numId w:val="48"/>
        </w:numPr>
        <w:spacing w:after="120"/>
        <w:ind w:left="567" w:hanging="567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5A6A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B55A6A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B55A6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B55A6A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F178A">
      <w:pPr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92201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BF178A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BF178A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63D6A" w:rsidRDefault="004C50AD" w:rsidP="00BF178A">
      <w:pPr>
        <w:numPr>
          <w:ilvl w:val="0"/>
          <w:numId w:val="47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63D6A">
          <w:rPr>
            <w:rStyle w:val="Hypertextovodkaz"/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www.olkraj.cz</w:t>
        </w:r>
      </w:hyperlink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920" w14:textId="27455819" w:rsidR="009A3DA5" w:rsidRPr="00763D6A" w:rsidRDefault="009A3DA5" w:rsidP="00BF178A">
      <w:pPr>
        <w:numPr>
          <w:ilvl w:val="0"/>
          <w:numId w:val="47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Poskytnutí dotace a uzavření této smlouvy bylo schváleno usnesením </w:t>
      </w:r>
      <w:r w:rsidR="00763D6A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Rady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Olomouckého kraje č</w:t>
      </w:r>
      <w:r w:rsidR="00822426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......... ze dne .........</w:t>
      </w:r>
    </w:p>
    <w:p w14:paraId="3C925923" w14:textId="0C0A8AD2" w:rsidR="009A3DA5" w:rsidRPr="00763D6A" w:rsidRDefault="009A3DA5" w:rsidP="00BF178A">
      <w:pPr>
        <w:numPr>
          <w:ilvl w:val="0"/>
          <w:numId w:val="47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Tato smlouva je sepsána </w:t>
      </w:r>
      <w:proofErr w:type="gramStart"/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ve ......... vyhotoveních</w:t>
      </w:r>
      <w:proofErr w:type="gramEnd"/>
      <w:r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z nichž každá smluvní strana obdrží ......... vyhotovení.</w:t>
      </w:r>
      <w:r w:rsidR="00177877" w:rsidRPr="00763D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FF0C1D" w:rsidRPr="00763D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čl. 1 odst. 15 </w:t>
      </w:r>
      <w:r w:rsidR="00A65567" w:rsidRPr="00763D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Zásad</w:t>
      </w:r>
      <w:r w:rsidR="00177877" w:rsidRPr="00763D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).</w:t>
      </w:r>
      <w:r w:rsidR="00A65567" w:rsidRPr="00763D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763D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text</w:t>
      </w:r>
      <w:r w:rsidR="00A65567" w:rsidRPr="00763D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„</w:t>
      </w:r>
      <w:r w:rsidR="00175FE2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D34C6F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elektronickým způsobem</w:t>
      </w:r>
      <w:r w:rsidR="00175FE2" w:rsidRPr="00763D6A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175FE2" w:rsidRPr="00763D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49DB533C" w:rsidR="00FE3DFD" w:rsidRPr="004C099F" w:rsidRDefault="00FE3DFD" w:rsidP="004C099F">
      <w:pPr>
        <w:ind w:left="0" w:firstLine="0"/>
        <w:rPr>
          <w:rFonts w:ascii="Arial" w:hAnsi="Arial" w:cs="Arial"/>
          <w:bCs/>
        </w:rPr>
      </w:pPr>
    </w:p>
    <w:sectPr w:rsidR="00FE3DFD" w:rsidRPr="004C099F" w:rsidSect="00A36F7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5B5B" w14:textId="77777777" w:rsidR="0044544E" w:rsidRDefault="0044544E" w:rsidP="00D40C40">
      <w:r>
        <w:separator/>
      </w:r>
    </w:p>
  </w:endnote>
  <w:endnote w:type="continuationSeparator" w:id="0">
    <w:p w14:paraId="5050AA1C" w14:textId="77777777" w:rsidR="0044544E" w:rsidRDefault="0044544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3FA39320" w14:textId="53996CE1" w:rsidR="00A36F76" w:rsidRDefault="00525127" w:rsidP="00A36F76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                 </w:t>
        </w:r>
        <w:r w:rsidR="00A36F76">
          <w:rPr>
            <w:rFonts w:ascii="Arial" w:hAnsi="Arial" w:cs="Arial"/>
            <w:i/>
            <w:sz w:val="20"/>
            <w:szCs w:val="20"/>
          </w:rPr>
          <w:tab/>
        </w:r>
        <w:r w:rsidR="00A36F76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36F76">
          <w:rPr>
            <w:rFonts w:ascii="Arial" w:hAnsi="Arial" w:cs="Arial"/>
            <w:i/>
            <w:sz w:val="20"/>
            <w:szCs w:val="20"/>
          </w:rPr>
          <w:fldChar w:fldCharType="begin"/>
        </w:r>
        <w:r w:rsidR="00A36F76"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 w:rsidR="00A36F7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F345D">
          <w:rPr>
            <w:rFonts w:ascii="Arial" w:hAnsi="Arial" w:cs="Arial"/>
            <w:i/>
            <w:noProof/>
            <w:sz w:val="20"/>
            <w:szCs w:val="20"/>
          </w:rPr>
          <w:t>9</w:t>
        </w:r>
        <w:r w:rsidR="00A36F76">
          <w:rPr>
            <w:rFonts w:ascii="Arial" w:hAnsi="Arial" w:cs="Arial"/>
            <w:i/>
            <w:sz w:val="20"/>
            <w:szCs w:val="20"/>
          </w:rPr>
          <w:fldChar w:fldCharType="end"/>
        </w:r>
        <w:r w:rsidR="00A36F76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A36F76">
          <w:rPr>
            <w:rFonts w:ascii="Arial" w:hAnsi="Arial" w:cs="Arial"/>
            <w:i/>
            <w:sz w:val="20"/>
            <w:szCs w:val="20"/>
          </w:rPr>
          <w:fldChar w:fldCharType="begin"/>
        </w:r>
        <w:r w:rsidR="00A36F76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A36F7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F345D">
          <w:rPr>
            <w:rFonts w:ascii="Arial" w:hAnsi="Arial" w:cs="Arial"/>
            <w:i/>
            <w:noProof/>
            <w:sz w:val="20"/>
            <w:szCs w:val="20"/>
          </w:rPr>
          <w:t>9</w:t>
        </w:r>
        <w:r w:rsidR="00A36F76">
          <w:rPr>
            <w:rFonts w:ascii="Arial" w:hAnsi="Arial" w:cs="Arial"/>
            <w:i/>
            <w:sz w:val="20"/>
            <w:szCs w:val="20"/>
          </w:rPr>
          <w:fldChar w:fldCharType="end"/>
        </w:r>
        <w:r w:rsidR="00A36F76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7AC11A66" w14:textId="2B50F196" w:rsidR="00525127" w:rsidRPr="006D2426" w:rsidRDefault="009220D8" w:rsidP="0052512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525127" w:rsidRPr="006D2426">
      <w:rPr>
        <w:rFonts w:ascii="Arial" w:hAnsi="Arial" w:cs="Arial"/>
        <w:i/>
        <w:sz w:val="20"/>
        <w:szCs w:val="20"/>
      </w:rPr>
      <w:t>. 2. 2024</w:t>
    </w:r>
  </w:p>
  <w:p w14:paraId="5D1EA7C6" w14:textId="09F5A4C6" w:rsidR="00525127" w:rsidRPr="006D2426" w:rsidRDefault="00525127" w:rsidP="00525127">
    <w:pPr>
      <w:pStyle w:val="Zpat"/>
      <w:rPr>
        <w:rFonts w:ascii="Arial" w:hAnsi="Arial" w:cs="Arial"/>
        <w:i/>
        <w:sz w:val="20"/>
        <w:szCs w:val="20"/>
      </w:rPr>
    </w:pPr>
    <w:r w:rsidRPr="006D2426">
      <w:rPr>
        <w:rFonts w:ascii="Arial" w:hAnsi="Arial" w:cs="Arial"/>
        <w:i/>
        <w:sz w:val="20"/>
        <w:szCs w:val="20"/>
      </w:rPr>
      <w:t>Dotační program 11_01_Program na podporu poskytovatelů paliativní péče v roce 2024 - vyhlášení</w:t>
    </w:r>
  </w:p>
  <w:p w14:paraId="7C174658" w14:textId="133C1484" w:rsidR="00525127" w:rsidRPr="006D2426" w:rsidRDefault="00525127" w:rsidP="00525127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</w:t>
    </w:r>
    <w:r w:rsidRPr="006D2426">
      <w:rPr>
        <w:rFonts w:ascii="Arial" w:hAnsi="Arial" w:cs="Arial"/>
        <w:i/>
        <w:sz w:val="20"/>
        <w:szCs w:val="20"/>
      </w:rPr>
      <w:t>snes</w:t>
    </w:r>
    <w:r>
      <w:rPr>
        <w:rFonts w:ascii="Arial" w:hAnsi="Arial" w:cs="Arial"/>
        <w:i/>
        <w:sz w:val="20"/>
        <w:szCs w:val="20"/>
      </w:rPr>
      <w:t>ení_příloha</w:t>
    </w:r>
    <w:proofErr w:type="spellEnd"/>
    <w:r>
      <w:rPr>
        <w:rFonts w:ascii="Arial" w:hAnsi="Arial" w:cs="Arial"/>
        <w:i/>
        <w:sz w:val="20"/>
        <w:szCs w:val="20"/>
      </w:rPr>
      <w:t xml:space="preserve"> č.03 - DT_11_01_01_Vzorová veřejnoprávní smlouva o poskytnutí dotace na akci právnickým osobám</w:t>
    </w:r>
  </w:p>
  <w:p w14:paraId="366BEF3E" w14:textId="77777777" w:rsidR="00BB7AD5" w:rsidRDefault="00BB7A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D9473" w14:textId="77777777" w:rsidR="0044544E" w:rsidRDefault="0044544E" w:rsidP="00D40C40">
      <w:r>
        <w:separator/>
      </w:r>
    </w:p>
  </w:footnote>
  <w:footnote w:type="continuationSeparator" w:id="0">
    <w:p w14:paraId="3E74DBB8" w14:textId="77777777" w:rsidR="0044544E" w:rsidRDefault="0044544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76D0" w14:textId="04068F53" w:rsidR="00AD31F4" w:rsidRPr="00525127" w:rsidRDefault="00525127">
    <w:pPr>
      <w:pStyle w:val="Zhlav"/>
      <w:rPr>
        <w:i/>
      </w:rPr>
    </w:pPr>
    <w:proofErr w:type="spellStart"/>
    <w:r w:rsidRPr="00525127">
      <w:rPr>
        <w:i/>
      </w:rPr>
      <w:t>Usnesení_příloha</w:t>
    </w:r>
    <w:proofErr w:type="spellEnd"/>
    <w:r w:rsidRPr="00525127">
      <w:rPr>
        <w:i/>
      </w:rPr>
      <w:t xml:space="preserve"> č. 03-DT_11_01_01_Vzorová veřejnoprávní smlouva o poskytnutí dotace na akci právnickým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11AE92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C2AA7"/>
    <w:multiLevelType w:val="multilevel"/>
    <w:tmpl w:val="820C671E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34122"/>
    <w:multiLevelType w:val="multilevel"/>
    <w:tmpl w:val="658E94EE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58D310C"/>
    <w:multiLevelType w:val="hybridMultilevel"/>
    <w:tmpl w:val="D9B0C670"/>
    <w:lvl w:ilvl="0" w:tplc="85C0AE3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6"/>
  </w:num>
  <w:num w:numId="4">
    <w:abstractNumId w:val="36"/>
  </w:num>
  <w:num w:numId="5">
    <w:abstractNumId w:val="17"/>
  </w:num>
  <w:num w:numId="6">
    <w:abstractNumId w:val="33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2"/>
  </w:num>
  <w:num w:numId="14">
    <w:abstractNumId w:val="30"/>
  </w:num>
  <w:num w:numId="15">
    <w:abstractNumId w:val="3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1"/>
  </w:num>
  <w:num w:numId="30">
    <w:abstractNumId w:val="23"/>
  </w:num>
  <w:num w:numId="31">
    <w:abstractNumId w:val="10"/>
  </w:num>
  <w:num w:numId="32">
    <w:abstractNumId w:val="37"/>
  </w:num>
  <w:num w:numId="33">
    <w:abstractNumId w:val="32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13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12"/>
  </w:num>
  <w:num w:numId="4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2C6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046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0F73C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4D8C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27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99E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4D46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0390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679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5845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544E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99F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127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4C97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15EB"/>
    <w:rsid w:val="005C1837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2534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2201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17504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0591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D6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026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D6BC2"/>
    <w:rsid w:val="007D7152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257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33B5"/>
    <w:rsid w:val="00904157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20D8"/>
    <w:rsid w:val="009235ED"/>
    <w:rsid w:val="0092407D"/>
    <w:rsid w:val="00924C5C"/>
    <w:rsid w:val="009264AC"/>
    <w:rsid w:val="00927B61"/>
    <w:rsid w:val="00930271"/>
    <w:rsid w:val="00931C76"/>
    <w:rsid w:val="009329EC"/>
    <w:rsid w:val="00933277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0889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6F76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1F4"/>
    <w:rsid w:val="00AD3B56"/>
    <w:rsid w:val="00AD46AF"/>
    <w:rsid w:val="00AD4B4D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497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A6A"/>
    <w:rsid w:val="00B5669C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178A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487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4681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4DC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A694B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202"/>
    <w:rsid w:val="00CE3D25"/>
    <w:rsid w:val="00CE506C"/>
    <w:rsid w:val="00CE52FC"/>
    <w:rsid w:val="00CE598E"/>
    <w:rsid w:val="00CE6F7F"/>
    <w:rsid w:val="00CF0805"/>
    <w:rsid w:val="00CF3A83"/>
    <w:rsid w:val="00CF3C6E"/>
    <w:rsid w:val="00CF48E1"/>
    <w:rsid w:val="00CF499A"/>
    <w:rsid w:val="00CF4A97"/>
    <w:rsid w:val="00CF5AA8"/>
    <w:rsid w:val="00CF5F46"/>
    <w:rsid w:val="00CF7684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5E6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3898"/>
    <w:rsid w:val="00D34C35"/>
    <w:rsid w:val="00D34C6F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57295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1D54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1293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0CFA"/>
    <w:rsid w:val="00E21EF9"/>
    <w:rsid w:val="00E22986"/>
    <w:rsid w:val="00E23378"/>
    <w:rsid w:val="00E25D52"/>
    <w:rsid w:val="00E25DAD"/>
    <w:rsid w:val="00E261F7"/>
    <w:rsid w:val="00E269D4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B3C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0C1D"/>
    <w:rsid w:val="00FF1AD5"/>
    <w:rsid w:val="00FF217C"/>
    <w:rsid w:val="00FF3129"/>
    <w:rsid w:val="00FF345D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3C6E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6622-DD64-403F-95F9-09387677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3428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6</cp:revision>
  <cp:lastPrinted>2019-08-21T08:37:00Z</cp:lastPrinted>
  <dcterms:created xsi:type="dcterms:W3CDTF">2024-02-21T10:58:00Z</dcterms:created>
  <dcterms:modified xsi:type="dcterms:W3CDTF">2024-02-27T06:53:00Z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