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292E" w14:textId="77777777"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05BDE7" wp14:editId="19530171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329">
        <w:rPr>
          <w:rFonts w:ascii="Arial" w:hAnsi="Arial" w:cs="Arial"/>
        </w:rPr>
        <w:t xml:space="preserve"> </w:t>
      </w:r>
    </w:p>
    <w:p w14:paraId="6B909D41" w14:textId="77777777"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14:paraId="1A6DE33F" w14:textId="77777777" w:rsidTr="00C91CBF">
        <w:trPr>
          <w:trHeight w:val="4123"/>
        </w:trPr>
        <w:tc>
          <w:tcPr>
            <w:tcW w:w="9639" w:type="dxa"/>
          </w:tcPr>
          <w:p w14:paraId="25EDB4C3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14:paraId="2B3C50EB" w14:textId="09223BB7"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Zápis č. </w:t>
            </w:r>
            <w:r w:rsidR="00A377B9">
              <w:rPr>
                <w:rFonts w:cs="Arial"/>
              </w:rPr>
              <w:t>1</w:t>
            </w:r>
            <w:r w:rsidR="003B51C1">
              <w:rPr>
                <w:rFonts w:cs="Arial"/>
              </w:rPr>
              <w:t>5</w:t>
            </w:r>
          </w:p>
          <w:p w14:paraId="43F90410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ze zasedání Výboru </w:t>
            </w:r>
            <w:r w:rsidR="00A377B9">
              <w:rPr>
                <w:rFonts w:cs="Arial"/>
              </w:rPr>
              <w:t>pro výchovu, vzdělávání a zaměstnanost</w:t>
            </w:r>
          </w:p>
          <w:p w14:paraId="431DB899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>Zastupitelstva Olomouckého kraje</w:t>
            </w:r>
          </w:p>
          <w:p w14:paraId="663F96CD" w14:textId="0697397D" w:rsidR="004E1377" w:rsidRPr="003012C5" w:rsidRDefault="004E1377" w:rsidP="00C91C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70AA0">
              <w:rPr>
                <w:rFonts w:ascii="Arial" w:hAnsi="Arial" w:cs="Arial"/>
                <w:b/>
                <w:sz w:val="32"/>
                <w:szCs w:val="20"/>
              </w:rPr>
              <w:t xml:space="preserve">ze </w:t>
            </w:r>
            <w:r w:rsidRPr="003012C5">
              <w:rPr>
                <w:rFonts w:ascii="Arial" w:hAnsi="Arial" w:cs="Arial"/>
                <w:b/>
                <w:sz w:val="32"/>
                <w:szCs w:val="20"/>
              </w:rPr>
              <w:t>dne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B51C1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3B51C1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3B51C1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308932C8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</w:tc>
      </w:tr>
    </w:tbl>
    <w:p w14:paraId="04B3B165" w14:textId="77777777"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975D37" w:rsidRPr="00570AA0" w14:paraId="725B081A" w14:textId="77777777">
        <w:tc>
          <w:tcPr>
            <w:tcW w:w="4606" w:type="dxa"/>
          </w:tcPr>
          <w:p w14:paraId="7CA92A6F" w14:textId="77777777" w:rsidR="00975D37" w:rsidRPr="00570AA0" w:rsidRDefault="00975D37">
            <w:pPr>
              <w:pStyle w:val="Vborptomni"/>
            </w:pPr>
            <w:r w:rsidRPr="00570AA0">
              <w:t>Přítomni:</w:t>
            </w:r>
          </w:p>
        </w:tc>
        <w:tc>
          <w:tcPr>
            <w:tcW w:w="5042" w:type="dxa"/>
          </w:tcPr>
          <w:p w14:paraId="00CDCDC1" w14:textId="77777777" w:rsidR="00975D37" w:rsidRPr="00570AA0" w:rsidRDefault="00975D37">
            <w:pPr>
              <w:pStyle w:val="Vborptomni"/>
            </w:pPr>
            <w:r w:rsidRPr="00570AA0">
              <w:t>Nepřítomni:</w:t>
            </w:r>
          </w:p>
        </w:tc>
      </w:tr>
      <w:tr w:rsidR="00975D37" w:rsidRPr="00570AA0" w14:paraId="1DC783BF" w14:textId="77777777">
        <w:tc>
          <w:tcPr>
            <w:tcW w:w="4606" w:type="dxa"/>
          </w:tcPr>
          <w:p w14:paraId="2952C6FB" w14:textId="77777777" w:rsidR="00A377B9" w:rsidRPr="005434EA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Marta Husičková</w:t>
            </w:r>
          </w:p>
          <w:p w14:paraId="67A86206" w14:textId="77777777"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proofErr w:type="spellStart"/>
            <w:r w:rsidRPr="00191B68">
              <w:rPr>
                <w:b w:val="0"/>
                <w:sz w:val="24"/>
                <w:szCs w:val="24"/>
              </w:rPr>
              <w:t>Angelis</w:t>
            </w:r>
            <w:proofErr w:type="spellEnd"/>
            <w:r w:rsidRPr="00191B6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Zdukos</w:t>
            </w:r>
            <w:proofErr w:type="spellEnd"/>
            <w:r w:rsidRPr="00191B68">
              <w:rPr>
                <w:b w:val="0"/>
                <w:sz w:val="24"/>
                <w:szCs w:val="24"/>
              </w:rPr>
              <w:t xml:space="preserve"> </w:t>
            </w:r>
          </w:p>
          <w:p w14:paraId="41C56E06" w14:textId="77777777"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Roman Šťastný</w:t>
            </w:r>
          </w:p>
          <w:p w14:paraId="4E1AC0F5" w14:textId="77777777"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Radek Vincour</w:t>
            </w:r>
          </w:p>
          <w:p w14:paraId="73695C9B" w14:textId="77777777" w:rsidR="00A377B9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Jakub Knápek</w:t>
            </w:r>
          </w:p>
          <w:p w14:paraId="5E8B6F60" w14:textId="77777777" w:rsidR="009735BE" w:rsidRPr="00191B68" w:rsidRDefault="009735BE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Jakub Dolníček</w:t>
            </w:r>
          </w:p>
          <w:p w14:paraId="7EC0B5DC" w14:textId="77777777" w:rsidR="003012C5" w:rsidRPr="00191B68" w:rsidRDefault="003012C5" w:rsidP="003012C5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Michael Tesař</w:t>
            </w:r>
          </w:p>
          <w:p w14:paraId="420DC57D" w14:textId="77777777" w:rsidR="003012C5" w:rsidRPr="00191B68" w:rsidRDefault="003012C5" w:rsidP="003012C5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Pavel Doubrava</w:t>
            </w:r>
          </w:p>
          <w:p w14:paraId="255E1CF6" w14:textId="77777777" w:rsidR="00A71492" w:rsidRPr="00191B68" w:rsidRDefault="00A71492" w:rsidP="00A71492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Ing. Hana Vacková</w:t>
            </w:r>
          </w:p>
          <w:p w14:paraId="2689C6F6" w14:textId="77777777" w:rsidR="00F23521" w:rsidRPr="00191B68" w:rsidRDefault="00F23521" w:rsidP="00F2352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Mgr. Pavel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Polcr</w:t>
            </w:r>
            <w:proofErr w:type="spellEnd"/>
          </w:p>
          <w:p w14:paraId="0EA28AAF" w14:textId="77777777" w:rsidR="00F23521" w:rsidRDefault="00F23521" w:rsidP="00F2352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Dominik Voráč</w:t>
            </w:r>
          </w:p>
          <w:p w14:paraId="0CAF21B6" w14:textId="77777777" w:rsidR="00F23521" w:rsidRPr="00191B68" w:rsidRDefault="00F23521" w:rsidP="00F2352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Petr Lipčík</w:t>
            </w:r>
          </w:p>
          <w:p w14:paraId="35ACF731" w14:textId="77777777" w:rsidR="00F23521" w:rsidRDefault="00F23521" w:rsidP="00F2352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et Mgr. Jakub Lysek, Ph.D.</w:t>
            </w:r>
          </w:p>
          <w:p w14:paraId="76A6415C" w14:textId="77777777" w:rsidR="003B51C1" w:rsidRDefault="003B51C1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Leoš Ptáček</w:t>
            </w:r>
          </w:p>
          <w:p w14:paraId="6326553D" w14:textId="392121EA" w:rsidR="003B51C1" w:rsidRDefault="003B51C1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Mgr. Bc. et Mgr. Jiří Viterna, MBA,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MSc</w:t>
            </w:r>
            <w:proofErr w:type="spellEnd"/>
            <w:r w:rsidR="00C931E8">
              <w:rPr>
                <w:b w:val="0"/>
                <w:sz w:val="24"/>
                <w:szCs w:val="24"/>
              </w:rPr>
              <w:t xml:space="preserve">. </w:t>
            </w:r>
          </w:p>
          <w:p w14:paraId="50A0F7E0" w14:textId="77777777" w:rsidR="003B51C1" w:rsidRPr="00191B68" w:rsidRDefault="003B51C1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Aleš Suchánek</w:t>
            </w:r>
          </w:p>
          <w:p w14:paraId="4793F5DB" w14:textId="77777777" w:rsidR="00A377B9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</w:p>
          <w:p w14:paraId="124BB159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  <w:color w:val="FF0000"/>
              </w:rPr>
            </w:pPr>
          </w:p>
        </w:tc>
        <w:tc>
          <w:tcPr>
            <w:tcW w:w="5042" w:type="dxa"/>
          </w:tcPr>
          <w:p w14:paraId="7CDF4E30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0BFD2127" w14:textId="77777777">
        <w:tc>
          <w:tcPr>
            <w:tcW w:w="4606" w:type="dxa"/>
          </w:tcPr>
          <w:p w14:paraId="0A15F70E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07B37E33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22E7C223" w14:textId="77777777">
        <w:tc>
          <w:tcPr>
            <w:tcW w:w="4606" w:type="dxa"/>
          </w:tcPr>
          <w:p w14:paraId="08ED989B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1E043812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13D84CD5" w14:textId="77777777">
        <w:tc>
          <w:tcPr>
            <w:tcW w:w="4606" w:type="dxa"/>
          </w:tcPr>
          <w:p w14:paraId="300F8A03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5F2E7200" w14:textId="77777777" w:rsidR="00975D37" w:rsidRPr="00570AA0" w:rsidRDefault="00975D37" w:rsidP="00F137D0">
            <w:pPr>
              <w:pStyle w:val="Vborptomni"/>
              <w:spacing w:before="0" w:after="0"/>
            </w:pPr>
            <w:r w:rsidRPr="00570AA0">
              <w:t>Omluveni:</w:t>
            </w:r>
          </w:p>
        </w:tc>
      </w:tr>
      <w:tr w:rsidR="00975D37" w:rsidRPr="00570AA0" w14:paraId="36B50D6F" w14:textId="77777777">
        <w:tc>
          <w:tcPr>
            <w:tcW w:w="4606" w:type="dxa"/>
          </w:tcPr>
          <w:p w14:paraId="6C085141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1FBC6DB7" w14:textId="77777777" w:rsidR="00F23521" w:rsidRDefault="00F23521" w:rsidP="00F2352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Ing. Tomáš </w:t>
            </w:r>
            <w:proofErr w:type="spellStart"/>
            <w:r>
              <w:rPr>
                <w:b w:val="0"/>
                <w:sz w:val="24"/>
                <w:szCs w:val="24"/>
              </w:rPr>
              <w:t>Lázna</w:t>
            </w:r>
            <w:proofErr w:type="spellEnd"/>
          </w:p>
          <w:p w14:paraId="0728B318" w14:textId="77777777" w:rsidR="003B51C1" w:rsidRPr="00191B68" w:rsidRDefault="003B51C1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Mgr. Jaromíra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Lónová</w:t>
            </w:r>
            <w:proofErr w:type="spellEnd"/>
          </w:p>
          <w:p w14:paraId="132170CF" w14:textId="77777777" w:rsidR="003B51C1" w:rsidRPr="00191B68" w:rsidRDefault="003B51C1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Mgr. </w:t>
            </w:r>
            <w:r>
              <w:rPr>
                <w:b w:val="0"/>
                <w:sz w:val="24"/>
                <w:szCs w:val="24"/>
              </w:rPr>
              <w:t xml:space="preserve">Dita </w:t>
            </w:r>
            <w:proofErr w:type="spellStart"/>
            <w:r>
              <w:rPr>
                <w:b w:val="0"/>
                <w:sz w:val="24"/>
                <w:szCs w:val="24"/>
              </w:rPr>
              <w:t>Palaščáková</w:t>
            </w:r>
            <w:proofErr w:type="spellEnd"/>
          </w:p>
          <w:p w14:paraId="1AC9BAFC" w14:textId="77777777" w:rsidR="001A40E9" w:rsidRPr="00191B68" w:rsidRDefault="001A40E9" w:rsidP="001A40E9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</w:p>
          <w:p w14:paraId="481708AF" w14:textId="77777777" w:rsidR="00975D37" w:rsidRPr="00F23521" w:rsidRDefault="00975D37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</w:p>
        </w:tc>
      </w:tr>
      <w:tr w:rsidR="00975D37" w:rsidRPr="00570AA0" w14:paraId="1E8D187E" w14:textId="77777777">
        <w:tc>
          <w:tcPr>
            <w:tcW w:w="4606" w:type="dxa"/>
          </w:tcPr>
          <w:p w14:paraId="5AD1340A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14:paraId="26C63FDF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 w14:paraId="22A3194B" w14:textId="77777777">
        <w:tc>
          <w:tcPr>
            <w:tcW w:w="4606" w:type="dxa"/>
          </w:tcPr>
          <w:p w14:paraId="25F16262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14:paraId="3857FD74" w14:textId="77777777" w:rsidR="00975D37" w:rsidRPr="00570AA0" w:rsidRDefault="00975D37">
            <w:pPr>
              <w:pStyle w:val="Vborptomni"/>
            </w:pPr>
            <w:r w:rsidRPr="00570AA0">
              <w:t>Hosté:</w:t>
            </w:r>
          </w:p>
        </w:tc>
      </w:tr>
      <w:tr w:rsidR="00975D37" w:rsidRPr="00570AA0" w14:paraId="7CD6BFF8" w14:textId="77777777">
        <w:tc>
          <w:tcPr>
            <w:tcW w:w="4606" w:type="dxa"/>
          </w:tcPr>
          <w:p w14:paraId="660E1707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14:paraId="45965E01" w14:textId="77777777" w:rsidR="002D2013" w:rsidRPr="00B9008B" w:rsidRDefault="002D2013" w:rsidP="002D2013">
            <w:pPr>
              <w:pStyle w:val="Vborptomni"/>
              <w:rPr>
                <w:b w:val="0"/>
                <w:sz w:val="24"/>
                <w:szCs w:val="24"/>
              </w:rPr>
            </w:pPr>
            <w:r w:rsidRPr="00B9008B">
              <w:rPr>
                <w:b w:val="0"/>
                <w:sz w:val="24"/>
                <w:szCs w:val="24"/>
              </w:rPr>
              <w:t>RNDr. Aleš Jakubec, Ph.D.</w:t>
            </w:r>
          </w:p>
          <w:p w14:paraId="26433F0E" w14:textId="1D26BB44" w:rsidR="00F23521" w:rsidRPr="001A40E9" w:rsidRDefault="003B51C1" w:rsidP="00A71492">
            <w:pPr>
              <w:pStyle w:val="Vborptomni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F23521">
              <w:rPr>
                <w:rFonts w:cs="Arial"/>
                <w:sz w:val="24"/>
                <w:szCs w:val="24"/>
              </w:rPr>
              <w:t>gr. Martin Pustaj</w:t>
            </w:r>
          </w:p>
        </w:tc>
      </w:tr>
      <w:tr w:rsidR="00975D37" w:rsidRPr="00570AA0" w14:paraId="4582A5B0" w14:textId="77777777">
        <w:tc>
          <w:tcPr>
            <w:tcW w:w="4606" w:type="dxa"/>
          </w:tcPr>
          <w:p w14:paraId="558F7CA9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7CAE4B10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12A06682" w14:textId="77777777">
        <w:tc>
          <w:tcPr>
            <w:tcW w:w="4606" w:type="dxa"/>
          </w:tcPr>
          <w:p w14:paraId="401B3AF6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6FB1CA07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48BD90EB" w14:textId="77777777">
        <w:tc>
          <w:tcPr>
            <w:tcW w:w="4606" w:type="dxa"/>
          </w:tcPr>
          <w:p w14:paraId="2E89355C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60D0E3BC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7A2FBAD0" w14:textId="77777777">
        <w:tc>
          <w:tcPr>
            <w:tcW w:w="4606" w:type="dxa"/>
          </w:tcPr>
          <w:p w14:paraId="2B6D573F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1CB8D77E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</w:tbl>
    <w:p w14:paraId="141EA6B1" w14:textId="04D1A3B9" w:rsidR="00975D37" w:rsidRDefault="00975D37" w:rsidP="00F137D0">
      <w:pPr>
        <w:pStyle w:val="Vborprogram"/>
        <w:spacing w:before="0" w:after="0"/>
        <w:rPr>
          <w:rFonts w:cs="Arial"/>
        </w:rPr>
      </w:pPr>
      <w:r w:rsidRPr="00570AA0">
        <w:rPr>
          <w:rFonts w:cs="Arial"/>
        </w:rPr>
        <w:t>Program:</w:t>
      </w:r>
    </w:p>
    <w:p w14:paraId="20E00401" w14:textId="77777777" w:rsidR="000368AB" w:rsidRDefault="000368AB" w:rsidP="000368AB">
      <w:pPr>
        <w:numPr>
          <w:ilvl w:val="0"/>
          <w:numId w:val="3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912F44">
        <w:rPr>
          <w:rFonts w:ascii="Arial" w:hAnsi="Arial" w:cs="Arial"/>
        </w:rPr>
        <w:t>Zahájení</w:t>
      </w:r>
    </w:p>
    <w:p w14:paraId="4D064EE3" w14:textId="77777777" w:rsidR="000368AB" w:rsidRPr="00912F44" w:rsidRDefault="000368AB" w:rsidP="000368AB">
      <w:pPr>
        <w:numPr>
          <w:ilvl w:val="0"/>
          <w:numId w:val="3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Prezentace projektů vysokých škol, které žádají o finanční podporu Olomouckého kraje  </w:t>
      </w:r>
    </w:p>
    <w:p w14:paraId="060D40F8" w14:textId="77777777" w:rsidR="000368AB" w:rsidRPr="00912F44" w:rsidRDefault="000368AB" w:rsidP="000368A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12F44">
        <w:rPr>
          <w:rFonts w:ascii="Arial" w:hAnsi="Arial" w:cs="Arial"/>
          <w:sz w:val="24"/>
          <w:szCs w:val="24"/>
        </w:rPr>
        <w:t>Program na podporu vzdělávání na vysokých školách v Olomouckém kraji v roce 2024 – vyhodnocení</w:t>
      </w:r>
    </w:p>
    <w:p w14:paraId="45823027" w14:textId="77777777" w:rsidR="000368AB" w:rsidRPr="00912F44" w:rsidRDefault="000368AB" w:rsidP="000368A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12F44">
        <w:rPr>
          <w:rFonts w:ascii="Arial" w:hAnsi="Arial" w:cs="Arial"/>
          <w:sz w:val="24"/>
          <w:szCs w:val="24"/>
        </w:rPr>
        <w:t>Podpora mezinárodních výměnných pobytů mládeže a mezinárodních vzdělávacích programů v roce 2024 – vyhlášení</w:t>
      </w:r>
    </w:p>
    <w:p w14:paraId="2E7E1BA4" w14:textId="77777777" w:rsidR="000368AB" w:rsidRPr="00912F44" w:rsidRDefault="000368AB" w:rsidP="000368A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12F44">
        <w:rPr>
          <w:rFonts w:ascii="Arial" w:hAnsi="Arial" w:cs="Arial"/>
          <w:sz w:val="24"/>
          <w:szCs w:val="24"/>
        </w:rPr>
        <w:t>Učitel roku Olomouckého kraje 2024 – vyhodnocení</w:t>
      </w:r>
    </w:p>
    <w:p w14:paraId="36F72364" w14:textId="77777777" w:rsidR="000368AB" w:rsidRDefault="000368AB" w:rsidP="000368A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912F44">
        <w:rPr>
          <w:rFonts w:ascii="Arial" w:hAnsi="Arial" w:cs="Arial"/>
          <w:sz w:val="24"/>
          <w:szCs w:val="24"/>
        </w:rPr>
        <w:t>Talent Olomouckého kraje 2024 – vyhlášení veřejného příslibu</w:t>
      </w:r>
    </w:p>
    <w:p w14:paraId="421591BD" w14:textId="77777777" w:rsidR="000368AB" w:rsidRPr="00912F44" w:rsidRDefault="000368AB" w:rsidP="000368A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Výroční zpráva o stavu a rozvoji vzdělávací soustavy v Olomouckém kraji ve školním roce 2022/2023</w:t>
      </w:r>
    </w:p>
    <w:p w14:paraId="5084D467" w14:textId="77777777" w:rsidR="000368AB" w:rsidRPr="00F03483" w:rsidRDefault="000368AB" w:rsidP="000368AB">
      <w:pPr>
        <w:numPr>
          <w:ilvl w:val="0"/>
          <w:numId w:val="35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 w:rsidRPr="00F03483">
        <w:rPr>
          <w:rFonts w:ascii="Arial" w:hAnsi="Arial" w:cs="Arial"/>
        </w:rPr>
        <w:t>Různé</w:t>
      </w:r>
    </w:p>
    <w:p w14:paraId="12D55DF8" w14:textId="77777777" w:rsidR="000368AB" w:rsidRPr="00781E32" w:rsidRDefault="000368AB" w:rsidP="000368AB">
      <w:pPr>
        <w:numPr>
          <w:ilvl w:val="0"/>
          <w:numId w:val="35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81E32">
        <w:rPr>
          <w:rFonts w:ascii="Arial" w:hAnsi="Arial" w:cs="Arial"/>
        </w:rPr>
        <w:t>snesení, závěr</w:t>
      </w:r>
    </w:p>
    <w:p w14:paraId="79829020" w14:textId="77777777" w:rsidR="000368AB" w:rsidRDefault="000368AB" w:rsidP="00F137D0">
      <w:pPr>
        <w:pStyle w:val="Vborprogram"/>
        <w:spacing w:before="0" w:after="0"/>
        <w:rPr>
          <w:rFonts w:cs="Arial"/>
        </w:rPr>
      </w:pPr>
    </w:p>
    <w:p w14:paraId="2A97F3E6" w14:textId="77777777" w:rsidR="002D2013" w:rsidRDefault="002D2013" w:rsidP="002D2013">
      <w:pPr>
        <w:pStyle w:val="Vborzpis"/>
        <w:rPr>
          <w:szCs w:val="24"/>
        </w:rPr>
      </w:pPr>
      <w:r w:rsidRPr="00191B68">
        <w:rPr>
          <w:szCs w:val="24"/>
        </w:rPr>
        <w:t>Zápis:</w:t>
      </w:r>
    </w:p>
    <w:p w14:paraId="2274885C" w14:textId="77777777" w:rsidR="002D2013" w:rsidRPr="00191B68" w:rsidRDefault="002D2013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191B68">
        <w:rPr>
          <w:rFonts w:ascii="Arial" w:hAnsi="Arial" w:cs="Arial"/>
          <w:b/>
        </w:rPr>
        <w:t xml:space="preserve">Program </w:t>
      </w:r>
    </w:p>
    <w:p w14:paraId="6BA00809" w14:textId="2A4B818A" w:rsidR="002D2013" w:rsidRPr="00191B68" w:rsidRDefault="002D2013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szCs w:val="24"/>
        </w:rPr>
        <w:t>Výbor jednomyslně schválil program zasedání</w:t>
      </w:r>
      <w:r w:rsidR="00B24373">
        <w:rPr>
          <w:rFonts w:cs="Arial"/>
          <w:szCs w:val="24"/>
        </w:rPr>
        <w:t>.</w:t>
      </w:r>
      <w:r w:rsidRPr="00191B68">
        <w:rPr>
          <w:rFonts w:cs="Arial"/>
          <w:szCs w:val="24"/>
        </w:rPr>
        <w:t xml:space="preserve"> </w:t>
      </w:r>
    </w:p>
    <w:p w14:paraId="75614092" w14:textId="72756938" w:rsidR="007E0900" w:rsidRDefault="000368AB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Prezentace projektů vysokých škol, které žádají o finanční podporu Olomouckého kraje </w:t>
      </w:r>
    </w:p>
    <w:p w14:paraId="1D52777E" w14:textId="5A4F6427" w:rsidR="006D145A" w:rsidRDefault="006D145A" w:rsidP="006D145A">
      <w:pPr>
        <w:spacing w:after="120"/>
        <w:ind w:left="499"/>
        <w:jc w:val="both"/>
        <w:rPr>
          <w:rFonts w:ascii="Arial" w:hAnsi="Arial"/>
          <w:bCs/>
        </w:rPr>
      </w:pPr>
      <w:r w:rsidRPr="006D145A">
        <w:rPr>
          <w:rFonts w:ascii="Arial" w:hAnsi="Arial"/>
          <w:bCs/>
        </w:rPr>
        <w:t>Členové výboru</w:t>
      </w:r>
      <w:r>
        <w:rPr>
          <w:rFonts w:ascii="Arial" w:hAnsi="Arial"/>
          <w:bCs/>
        </w:rPr>
        <w:t xml:space="preserve"> byli seznámeni s obsahem projektů vysokých škol, které žádají na jejich realizaci o finanční podporu Olomouckého kraje. Jednalo se o projekty s finanční alokací více než 1 mil. Kč a projekty jsou zaměřeny ve prospěch Olomouckého kraje.</w:t>
      </w:r>
      <w:r w:rsidR="007F4302">
        <w:rPr>
          <w:rFonts w:ascii="Arial" w:hAnsi="Arial"/>
          <w:bCs/>
        </w:rPr>
        <w:t xml:space="preserve"> Jednalo se o Vysokou školu logistiky Přerov, Univerzitu Palackého Olomouc a Moravskou vysokou školu Olomouc.</w:t>
      </w:r>
    </w:p>
    <w:p w14:paraId="51F846B2" w14:textId="367640CE" w:rsidR="006D145A" w:rsidRPr="006D145A" w:rsidRDefault="006D145A" w:rsidP="006D145A">
      <w:pPr>
        <w:spacing w:after="120"/>
        <w:ind w:left="49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Členové výboru vzali prezentace na vědomí.</w:t>
      </w:r>
    </w:p>
    <w:p w14:paraId="57843322" w14:textId="7EC597AE" w:rsidR="002D2013" w:rsidRDefault="00A932C2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na podporu vzdělávání na vysokých školách v Olomouckém kraji v roce 2024</w:t>
      </w:r>
      <w:r w:rsidR="002D2013" w:rsidRPr="00191B68">
        <w:rPr>
          <w:rFonts w:ascii="Arial" w:hAnsi="Arial" w:cs="Arial"/>
          <w:b/>
        </w:rPr>
        <w:t xml:space="preserve"> </w:t>
      </w:r>
      <w:r w:rsidR="000368AB">
        <w:rPr>
          <w:rFonts w:ascii="Arial" w:hAnsi="Arial" w:cs="Arial"/>
          <w:b/>
        </w:rPr>
        <w:t>- vyhodnocení</w:t>
      </w:r>
      <w:r w:rsidR="002D2013" w:rsidRPr="00191B68">
        <w:rPr>
          <w:rFonts w:ascii="Arial" w:hAnsi="Arial" w:cs="Arial"/>
          <w:b/>
        </w:rPr>
        <w:t xml:space="preserve"> </w:t>
      </w:r>
    </w:p>
    <w:p w14:paraId="5849240C" w14:textId="77777777" w:rsidR="00183778" w:rsidRPr="002462A7" w:rsidRDefault="00183778" w:rsidP="005D522D">
      <w:pPr>
        <w:ind w:left="499"/>
        <w:jc w:val="both"/>
        <w:rPr>
          <w:rFonts w:ascii="Arial" w:hAnsi="Arial" w:cs="Arial"/>
        </w:rPr>
      </w:pPr>
      <w:r w:rsidRPr="002462A7">
        <w:rPr>
          <w:rFonts w:ascii="Arial" w:hAnsi="Arial" w:cs="Arial"/>
        </w:rPr>
        <w:t>Cílem dotačního programu je podpora celoroční činnosti žadatele ve veřejném zájmu a v souladu s cíli Olomouckého kraje související s:</w:t>
      </w:r>
    </w:p>
    <w:p w14:paraId="08F8BACD" w14:textId="77777777" w:rsidR="00183778" w:rsidRPr="009C279C" w:rsidRDefault="00183778" w:rsidP="005D522D">
      <w:pPr>
        <w:pStyle w:val="Nadpis5"/>
        <w:numPr>
          <w:ilvl w:val="0"/>
          <w:numId w:val="42"/>
        </w:numPr>
        <w:jc w:val="both"/>
        <w:rPr>
          <w:rFonts w:ascii="Arial" w:hAnsi="Arial" w:cs="Arial"/>
        </w:rPr>
      </w:pPr>
      <w:r w:rsidRPr="009C279C">
        <w:rPr>
          <w:rFonts w:ascii="Arial" w:hAnsi="Arial" w:cs="Arial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14:paraId="4923072A" w14:textId="77777777" w:rsidR="00183778" w:rsidRPr="009C279C" w:rsidRDefault="00183778" w:rsidP="005D522D">
      <w:pPr>
        <w:pStyle w:val="Nadpis5"/>
        <w:numPr>
          <w:ilvl w:val="0"/>
          <w:numId w:val="42"/>
        </w:numPr>
        <w:jc w:val="both"/>
        <w:rPr>
          <w:rFonts w:ascii="Arial" w:hAnsi="Arial" w:cs="Arial"/>
        </w:rPr>
      </w:pPr>
      <w:r w:rsidRPr="009C279C">
        <w:rPr>
          <w:rFonts w:ascii="Arial" w:hAnsi="Arial" w:cs="Arial"/>
        </w:rPr>
        <w:t>rozvojem spolupráce vysokých škol a středních škol v regionu (včetně podpory nadaných žáků);</w:t>
      </w:r>
    </w:p>
    <w:p w14:paraId="5FD6B50A" w14:textId="77777777" w:rsidR="00183778" w:rsidRPr="009C279C" w:rsidRDefault="00183778" w:rsidP="005D522D">
      <w:pPr>
        <w:pStyle w:val="Nadpis5"/>
        <w:numPr>
          <w:ilvl w:val="0"/>
          <w:numId w:val="42"/>
        </w:numPr>
        <w:jc w:val="both"/>
        <w:rPr>
          <w:rFonts w:ascii="Arial" w:hAnsi="Arial" w:cs="Arial"/>
        </w:rPr>
      </w:pPr>
      <w:r w:rsidRPr="009C279C">
        <w:rPr>
          <w:rFonts w:ascii="Arial" w:hAnsi="Arial" w:cs="Arial"/>
        </w:rPr>
        <w:t>podporou vysokých škol v oblasti inovativních aktivit;</w:t>
      </w:r>
    </w:p>
    <w:p w14:paraId="4AEC3838" w14:textId="77777777" w:rsidR="00183778" w:rsidRPr="009C279C" w:rsidRDefault="00183778" w:rsidP="005D522D">
      <w:pPr>
        <w:pStyle w:val="Nadpis5"/>
        <w:numPr>
          <w:ilvl w:val="0"/>
          <w:numId w:val="42"/>
        </w:numPr>
        <w:jc w:val="both"/>
        <w:rPr>
          <w:rFonts w:ascii="Arial" w:hAnsi="Arial" w:cs="Arial"/>
        </w:rPr>
      </w:pPr>
      <w:r w:rsidRPr="009C279C">
        <w:rPr>
          <w:rFonts w:ascii="Arial" w:hAnsi="Arial" w:cs="Arial"/>
        </w:rPr>
        <w:t>podporou vědecko-výzkumných kapacit, které umožňují transfer ekonomického know-how do regionu;</w:t>
      </w:r>
    </w:p>
    <w:p w14:paraId="63359249" w14:textId="77777777" w:rsidR="00183778" w:rsidRPr="009C279C" w:rsidRDefault="00183778" w:rsidP="005D522D">
      <w:pPr>
        <w:pStyle w:val="Nadpis5"/>
        <w:numPr>
          <w:ilvl w:val="0"/>
          <w:numId w:val="42"/>
        </w:numPr>
        <w:jc w:val="both"/>
        <w:rPr>
          <w:rFonts w:ascii="Arial" w:hAnsi="Arial" w:cs="Arial"/>
        </w:rPr>
      </w:pPr>
      <w:r w:rsidRPr="009C279C">
        <w:rPr>
          <w:rFonts w:ascii="Arial" w:hAnsi="Arial" w:cs="Arial"/>
        </w:rPr>
        <w:lastRenderedPageBreak/>
        <w:t>podporou profesně zaměřených studijních programů na vysokých školách v Olomouckém kraji;</w:t>
      </w:r>
    </w:p>
    <w:p w14:paraId="1939E179" w14:textId="77777777" w:rsidR="00183778" w:rsidRPr="009C279C" w:rsidRDefault="00183778" w:rsidP="005D522D">
      <w:pPr>
        <w:pStyle w:val="Nadpis5"/>
        <w:numPr>
          <w:ilvl w:val="0"/>
          <w:numId w:val="42"/>
        </w:numPr>
        <w:jc w:val="both"/>
        <w:rPr>
          <w:rFonts w:ascii="Arial" w:hAnsi="Arial" w:cs="Arial"/>
        </w:rPr>
      </w:pPr>
      <w:r w:rsidRPr="009C279C">
        <w:rPr>
          <w:rFonts w:ascii="Arial" w:hAnsi="Arial" w:cs="Arial"/>
        </w:rPr>
        <w:t>podporou akademicky zaměřených studijních oborů na vysokých školách v Olomouckém kraji zaměřených na polytechnické vzdělávání, nové technologie včetně technologií k udržitelnému rozvoji a průmysl;</w:t>
      </w:r>
    </w:p>
    <w:p w14:paraId="5C8BA876" w14:textId="77777777" w:rsidR="00183778" w:rsidRPr="009C279C" w:rsidRDefault="00183778" w:rsidP="005D522D">
      <w:pPr>
        <w:pStyle w:val="Nadpis5"/>
        <w:numPr>
          <w:ilvl w:val="0"/>
          <w:numId w:val="42"/>
        </w:numPr>
        <w:jc w:val="both"/>
        <w:rPr>
          <w:rFonts w:ascii="Arial" w:hAnsi="Arial" w:cs="Arial"/>
        </w:rPr>
      </w:pPr>
      <w:r w:rsidRPr="009C279C">
        <w:rPr>
          <w:rFonts w:ascii="Arial" w:hAnsi="Arial" w:cs="Arial"/>
        </w:rPr>
        <w:t>dobrovolnictvím;</w:t>
      </w:r>
    </w:p>
    <w:p w14:paraId="74CA97F9" w14:textId="32C205EF" w:rsidR="00183778" w:rsidRPr="009C279C" w:rsidRDefault="00183778" w:rsidP="005D522D">
      <w:pPr>
        <w:pStyle w:val="Nadpis5"/>
        <w:numPr>
          <w:ilvl w:val="0"/>
          <w:numId w:val="42"/>
        </w:numPr>
        <w:jc w:val="both"/>
      </w:pPr>
      <w:r w:rsidRPr="009C279C">
        <w:rPr>
          <w:rFonts w:ascii="Arial" w:hAnsi="Arial" w:cs="Arial"/>
        </w:rPr>
        <w:t>realizací Projektů zaměřených na rozvoj Olomouckého kraje</w:t>
      </w:r>
      <w:r w:rsidR="007F4302">
        <w:rPr>
          <w:rFonts w:ascii="Arial" w:hAnsi="Arial" w:cs="Arial"/>
        </w:rPr>
        <w:t>,</w:t>
      </w:r>
      <w:r w:rsidRPr="009C279C">
        <w:rPr>
          <w:rFonts w:ascii="Arial" w:hAnsi="Arial" w:cs="Arial"/>
        </w:rPr>
        <w:t xml:space="preserve"> a to v souladu se strategickými cíli Dlouhodobého záměru vzdělávání a rozvoje vzdělávací soustavy Olomouckého kraje pro období </w:t>
      </w:r>
      <w:proofErr w:type="gramStart"/>
      <w:r w:rsidRPr="009C279C">
        <w:rPr>
          <w:rFonts w:ascii="Arial" w:hAnsi="Arial" w:cs="Arial"/>
        </w:rPr>
        <w:t>2020 – 2024</w:t>
      </w:r>
      <w:proofErr w:type="gramEnd"/>
      <w:r w:rsidRPr="009C279C">
        <w:rPr>
          <w:rFonts w:ascii="Arial" w:hAnsi="Arial" w:cs="Arial"/>
        </w:rPr>
        <w:t xml:space="preserve"> a Strategie rozvoje územního obvodu Olomouckého kraje 2021 – 2027</w:t>
      </w:r>
      <w:r w:rsidRPr="009C279C">
        <w:t>.</w:t>
      </w:r>
    </w:p>
    <w:p w14:paraId="1B3514E2" w14:textId="77777777" w:rsidR="00183778" w:rsidRPr="0005524D" w:rsidRDefault="00183778" w:rsidP="005D522D">
      <w:pPr>
        <w:spacing w:before="120" w:after="120" w:line="276" w:lineRule="auto"/>
        <w:ind w:left="360"/>
        <w:jc w:val="both"/>
        <w:rPr>
          <w:rFonts w:ascii="Arial" w:hAnsi="Arial" w:cs="Arial"/>
        </w:rPr>
      </w:pPr>
      <w:r w:rsidRPr="002E5B37">
        <w:rPr>
          <w:rFonts w:ascii="Arial" w:hAnsi="Arial" w:cs="Arial"/>
        </w:rPr>
        <w:t>Žadatelem může být pouze právnická osoba ve smyslu zákona č. 111/1998 Sb., o</w:t>
      </w:r>
      <w:r>
        <w:rPr>
          <w:rFonts w:ascii="Arial" w:hAnsi="Arial" w:cs="Arial"/>
        </w:rPr>
        <w:t> </w:t>
      </w:r>
      <w:r w:rsidRPr="002E5B37">
        <w:rPr>
          <w:rFonts w:ascii="Arial" w:hAnsi="Arial" w:cs="Arial"/>
        </w:rPr>
        <w:t>vysokých školách, a o změně a doplnění dalších zákonů (zákon o vysokých školách), ve znění pozdějších předpisů</w:t>
      </w:r>
      <w:r>
        <w:rPr>
          <w:rFonts w:ascii="Arial" w:hAnsi="Arial" w:cs="Arial"/>
        </w:rPr>
        <w:t xml:space="preserve">, </w:t>
      </w:r>
      <w:r w:rsidRPr="002E5B37">
        <w:rPr>
          <w:rFonts w:ascii="Arial" w:hAnsi="Arial" w:cs="Arial"/>
        </w:rPr>
        <w:t>se sídlem v Olomouckém kraji nebo</w:t>
      </w:r>
      <w:r>
        <w:rPr>
          <w:rFonts w:ascii="Arial" w:hAnsi="Arial" w:cs="Arial"/>
        </w:rPr>
        <w:t xml:space="preserve"> </w:t>
      </w:r>
      <w:r w:rsidRPr="002E5B37">
        <w:rPr>
          <w:rFonts w:ascii="Arial" w:hAnsi="Arial" w:cs="Arial"/>
        </w:rPr>
        <w:t>se sídlem mimo Olomoucký kraj v případě, že dotace bude použita pro pobočku příjemce zřízenou na</w:t>
      </w:r>
      <w:r>
        <w:rPr>
          <w:rFonts w:ascii="Arial" w:hAnsi="Arial" w:cs="Arial"/>
        </w:rPr>
        <w:t xml:space="preserve"> území Olomouckého kraje, a </w:t>
      </w:r>
      <w:r w:rsidRPr="002462A7">
        <w:rPr>
          <w:rFonts w:ascii="Arial" w:hAnsi="Arial" w:cs="Arial"/>
        </w:rPr>
        <w:t xml:space="preserve">které zároveň bylo před podáním žádosti o dotaci vyhlašovatelem tohoto dotačního programu odsouhlaseno použití </w:t>
      </w:r>
      <w:r w:rsidRPr="000D3073">
        <w:rPr>
          <w:rFonts w:ascii="Arial" w:hAnsi="Arial" w:cs="Arial"/>
        </w:rPr>
        <w:t>minimálně 20 % z poskytnuté dotace na Projekt zaměřený na rozvoj regionu. Tato podmínka se týká pouze žadatelů požadujících částku vyšší než 1</w:t>
      </w:r>
      <w:r>
        <w:rPr>
          <w:rFonts w:ascii="Arial" w:hAnsi="Arial" w:cs="Arial"/>
        </w:rPr>
        <w:t> </w:t>
      </w:r>
      <w:r w:rsidRPr="000D3073">
        <w:rPr>
          <w:rFonts w:ascii="Arial" w:hAnsi="Arial" w:cs="Arial"/>
        </w:rPr>
        <w:t>000</w:t>
      </w:r>
      <w:r>
        <w:rPr>
          <w:rFonts w:ascii="Arial" w:hAnsi="Arial" w:cs="Arial"/>
        </w:rPr>
        <w:t> </w:t>
      </w:r>
      <w:r w:rsidRPr="000D3073">
        <w:rPr>
          <w:rFonts w:ascii="Arial" w:hAnsi="Arial" w:cs="Arial"/>
        </w:rPr>
        <w:t>000 Kč.</w:t>
      </w:r>
    </w:p>
    <w:p w14:paraId="5E6EEB74" w14:textId="77777777" w:rsidR="00183778" w:rsidRDefault="00183778" w:rsidP="009C279C">
      <w:pPr>
        <w:spacing w:after="20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termínu pro příjem žádostí o poskytnutí dotace bylo přijato 5 žádostí s celkovou požadovanou částkou z rozpočtu Olomouckého kraje ve výši 19 000 000 Kč. Všichni žadatelé splnili podmínky pro poskytnutí dotace.</w:t>
      </w:r>
    </w:p>
    <w:p w14:paraId="604BBAAC" w14:textId="6AABFB08" w:rsidR="00183778" w:rsidRDefault="00183778" w:rsidP="009C279C">
      <w:pPr>
        <w:spacing w:after="20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 žadatelé (</w:t>
      </w:r>
      <w:r w:rsidRPr="00BB63DF">
        <w:rPr>
          <w:rFonts w:ascii="Arial" w:hAnsi="Arial" w:cs="Arial"/>
        </w:rPr>
        <w:t xml:space="preserve">Vysoká škola </w:t>
      </w:r>
      <w:proofErr w:type="gramStart"/>
      <w:r w:rsidRPr="00BB63DF">
        <w:rPr>
          <w:rFonts w:ascii="Arial" w:hAnsi="Arial" w:cs="Arial"/>
        </w:rPr>
        <w:t>báňská</w:t>
      </w:r>
      <w:r w:rsidR="00D454B0">
        <w:rPr>
          <w:rFonts w:ascii="Arial" w:hAnsi="Arial" w:cs="Arial"/>
        </w:rPr>
        <w:t xml:space="preserve"> </w:t>
      </w:r>
      <w:r w:rsidRPr="00BB63DF">
        <w:rPr>
          <w:rFonts w:ascii="Arial" w:hAnsi="Arial" w:cs="Arial"/>
        </w:rPr>
        <w:t>-</w:t>
      </w:r>
      <w:r w:rsidR="00D454B0">
        <w:rPr>
          <w:rFonts w:ascii="Arial" w:hAnsi="Arial" w:cs="Arial"/>
        </w:rPr>
        <w:t xml:space="preserve"> </w:t>
      </w:r>
      <w:r w:rsidRPr="00BB63DF">
        <w:rPr>
          <w:rFonts w:ascii="Arial" w:hAnsi="Arial" w:cs="Arial"/>
        </w:rPr>
        <w:t>Technická</w:t>
      </w:r>
      <w:proofErr w:type="gramEnd"/>
      <w:r w:rsidRPr="00BB63DF">
        <w:rPr>
          <w:rFonts w:ascii="Arial" w:hAnsi="Arial" w:cs="Arial"/>
        </w:rPr>
        <w:t xml:space="preserve"> univerzita Ostrava</w:t>
      </w:r>
      <w:r>
        <w:rPr>
          <w:rFonts w:ascii="Arial" w:hAnsi="Arial" w:cs="Arial"/>
        </w:rPr>
        <w:t xml:space="preserve">, </w:t>
      </w:r>
      <w:r w:rsidRPr="00BB63DF">
        <w:rPr>
          <w:rFonts w:ascii="Arial" w:hAnsi="Arial" w:cs="Arial"/>
        </w:rPr>
        <w:t>Česká zemědělská univerzita v</w:t>
      </w:r>
      <w:r>
        <w:rPr>
          <w:rFonts w:ascii="Arial" w:hAnsi="Arial" w:cs="Arial"/>
        </w:rPr>
        <w:t> </w:t>
      </w:r>
      <w:r w:rsidRPr="00BB63DF">
        <w:rPr>
          <w:rFonts w:ascii="Arial" w:hAnsi="Arial" w:cs="Arial"/>
        </w:rPr>
        <w:t>Praze</w:t>
      </w:r>
      <w:r>
        <w:rPr>
          <w:rFonts w:ascii="Arial" w:hAnsi="Arial" w:cs="Arial"/>
        </w:rPr>
        <w:t>) mají sídlo mimo Olomoucký kraj a žádají o dotaci, kterou použijí pro svou pobočku zřízenou na území Olomouckého kraje.</w:t>
      </w:r>
    </w:p>
    <w:p w14:paraId="54454A26" w14:textId="77777777" w:rsidR="00183778" w:rsidRDefault="00183778" w:rsidP="009C279C">
      <w:pPr>
        <w:spacing w:after="20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žadatelé požadují částku vyšší než 1 000 000 Kč a použijí minimálně 20 </w:t>
      </w:r>
      <w:r w:rsidRPr="002462A7">
        <w:rPr>
          <w:rFonts w:ascii="Arial" w:hAnsi="Arial" w:cs="Arial"/>
        </w:rPr>
        <w:t>% z p</w:t>
      </w:r>
      <w:r>
        <w:rPr>
          <w:rFonts w:ascii="Arial" w:hAnsi="Arial" w:cs="Arial"/>
        </w:rPr>
        <w:t>oskytnuté</w:t>
      </w:r>
      <w:r w:rsidRPr="002462A7">
        <w:rPr>
          <w:rFonts w:ascii="Arial" w:hAnsi="Arial" w:cs="Arial"/>
        </w:rPr>
        <w:t xml:space="preserve"> dotace na Projekt zaměřený na rozvoj regionu</w:t>
      </w:r>
      <w:r>
        <w:rPr>
          <w:rFonts w:ascii="Arial" w:hAnsi="Arial" w:cs="Arial"/>
        </w:rPr>
        <w:t>. Jedná se o žadatele:</w:t>
      </w:r>
    </w:p>
    <w:p w14:paraId="013A82B4" w14:textId="77777777" w:rsidR="00183778" w:rsidRPr="009C279C" w:rsidRDefault="00183778" w:rsidP="00183778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C279C">
        <w:rPr>
          <w:rFonts w:ascii="Arial" w:hAnsi="Arial" w:cs="Arial"/>
          <w:sz w:val="24"/>
          <w:szCs w:val="24"/>
        </w:rPr>
        <w:t>Univerzita Palackého v Olomouci: Podpora strategických aktivit Olomouckého kraje – Projekt bude prioritně zaměřen na podporu kulturních a kreativních průmyslů, podporu dobrovolnictví, přípravu akce Učitel roku Olomouckého kraje, přípravu Konference společenské odpovědnosti pro střední školy Olomouckého kraje, výzkumný záměr MOSPREMA a ústřední kolo biologické olympiády.</w:t>
      </w:r>
    </w:p>
    <w:p w14:paraId="3CB4E046" w14:textId="77777777" w:rsidR="00183778" w:rsidRPr="009C279C" w:rsidRDefault="00183778" w:rsidP="00183778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C279C">
        <w:rPr>
          <w:rFonts w:ascii="Arial" w:hAnsi="Arial" w:cs="Arial"/>
          <w:sz w:val="24"/>
          <w:szCs w:val="24"/>
        </w:rPr>
        <w:t xml:space="preserve">Moravská vysoká škola Olomouc, o.p.s.: Průzkum a analýza rodinných firem sídlících a zapojených do hospodářského rozvoje Olomouckého kraje – výstup analýzy bude podkladem pro systematickou podporu hospodářství Olomouckého kraje zaměřenou na: transfer know-how a inovací pro větší konkurenceschopnost, význam regionu a domova v podnikání, podpora implementace EU trendů, definování a vytváření expertních konzultací s využitím moderních technologií, podklady pro krajské dokumenty týkající se rozvoje kraje a podklady pro aktivní spolupráci s hospodářskou komorou a svazem průmyslu a dopravy. </w:t>
      </w:r>
    </w:p>
    <w:p w14:paraId="020CAFB5" w14:textId="77777777" w:rsidR="00183778" w:rsidRPr="00143464" w:rsidRDefault="00183778" w:rsidP="00183778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9C279C">
        <w:rPr>
          <w:rFonts w:ascii="Arial" w:hAnsi="Arial" w:cs="Arial"/>
          <w:sz w:val="24"/>
          <w:szCs w:val="24"/>
        </w:rPr>
        <w:t xml:space="preserve">Vysoká škola logistiky o.p.s.: Odpady 4.0 – nové trendy v nakládání s vybranými odpady v Olomouckém kraji – cílem bude stanovit logistické náklady na přepravu </w:t>
      </w:r>
      <w:r w:rsidRPr="009C279C">
        <w:rPr>
          <w:rFonts w:ascii="Arial" w:hAnsi="Arial" w:cs="Arial"/>
          <w:sz w:val="24"/>
          <w:szCs w:val="24"/>
        </w:rPr>
        <w:lastRenderedPageBreak/>
        <w:t>vybraných odpadů a na technologie pro jejich zpracování, cílem bude také poskytnout klíčové ekonomicko-technické podklady pro vypracování strategie na řešení odpadů, které nebudou řešeny v rámci Odpadového centra Olomouc</w:t>
      </w:r>
      <w:r w:rsidRPr="00143464">
        <w:rPr>
          <w:rFonts w:ascii="Arial" w:hAnsi="Arial" w:cs="Arial"/>
        </w:rPr>
        <w:t>.</w:t>
      </w:r>
    </w:p>
    <w:p w14:paraId="3BBD5C44" w14:textId="77777777" w:rsidR="00183778" w:rsidRDefault="00183778" w:rsidP="00183778">
      <w:pPr>
        <w:spacing w:after="20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alokace dotačního titulu činí 16 </w:t>
      </w:r>
      <w:r w:rsidRPr="00E03348">
        <w:rPr>
          <w:rFonts w:ascii="Arial" w:hAnsi="Arial" w:cs="Arial"/>
        </w:rPr>
        <w:t xml:space="preserve">100 000 </w:t>
      </w:r>
      <w:r>
        <w:rPr>
          <w:rFonts w:ascii="Arial" w:hAnsi="Arial" w:cs="Arial"/>
        </w:rPr>
        <w:t>Kč.</w:t>
      </w:r>
      <w:r>
        <w:rPr>
          <w:rFonts w:ascii="Arial" w:hAnsi="Arial" w:cs="Arial"/>
        </w:rPr>
        <w:tab/>
      </w:r>
      <w:r w:rsidRPr="00E03348">
        <w:rPr>
          <w:rFonts w:ascii="Arial" w:hAnsi="Arial" w:cs="Arial"/>
        </w:rPr>
        <w:t>Minimální výš</w:t>
      </w:r>
      <w:r>
        <w:rPr>
          <w:rFonts w:ascii="Arial" w:hAnsi="Arial" w:cs="Arial"/>
        </w:rPr>
        <w:t>e dotace na jednu činnost činí 1</w:t>
      </w:r>
      <w:r w:rsidRPr="00E03348">
        <w:rPr>
          <w:rFonts w:ascii="Arial" w:hAnsi="Arial" w:cs="Arial"/>
        </w:rPr>
        <w:t>00 000 Kč.</w:t>
      </w:r>
      <w:r>
        <w:rPr>
          <w:rFonts w:ascii="Arial" w:hAnsi="Arial" w:cs="Arial"/>
        </w:rPr>
        <w:t xml:space="preserve"> Maximální výše dotace na jednu činnost činí 6 000 000 Kč. Ž</w:t>
      </w:r>
      <w:r w:rsidRPr="000D3073">
        <w:rPr>
          <w:rFonts w:ascii="Arial" w:hAnsi="Arial" w:cs="Arial"/>
        </w:rPr>
        <w:t>adatelé se sídlem v Olomouckém kraji (bez ohledu na případné pobočky) mohou žádat o dotaci maximálně ve výši 6 000 000 Kč</w:t>
      </w:r>
      <w:r>
        <w:rPr>
          <w:rFonts w:ascii="Arial" w:hAnsi="Arial" w:cs="Arial"/>
        </w:rPr>
        <w:t>. Ž</w:t>
      </w:r>
      <w:r w:rsidRPr="000D3073">
        <w:rPr>
          <w:rFonts w:ascii="Arial" w:hAnsi="Arial" w:cs="Arial"/>
        </w:rPr>
        <w:t>adatelé se sídlem mimo Olomoucký kraj v případě, že dotace bude použita pro pobočku příjemce zřízenou na území Olomouckého kraje, mohou žádat o dotaci maximálně ve výši 600 000 Kč.</w:t>
      </w:r>
    </w:p>
    <w:p w14:paraId="5F41EA47" w14:textId="6690500C" w:rsidR="00183778" w:rsidRPr="009C279C" w:rsidRDefault="00183778" w:rsidP="009C279C">
      <w:pPr>
        <w:spacing w:after="20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pravidly programu proběhlo bodové hodnocení kritérií A administrátorem programu</w:t>
      </w:r>
      <w:r w:rsidRPr="009C279C">
        <w:rPr>
          <w:rFonts w:ascii="Arial" w:hAnsi="Arial" w:cs="Arial"/>
        </w:rPr>
        <w:t xml:space="preserve">. Odborná kritéria B dotačního programu </w:t>
      </w:r>
      <w:r w:rsidR="009C279C">
        <w:rPr>
          <w:rFonts w:ascii="Arial" w:hAnsi="Arial" w:cs="Arial"/>
        </w:rPr>
        <w:t>vyhodnotili členové výboru.</w:t>
      </w:r>
      <w:r w:rsidRPr="009C279C">
        <w:rPr>
          <w:rFonts w:ascii="Arial" w:hAnsi="Arial" w:cs="Arial"/>
        </w:rPr>
        <w:t xml:space="preserve"> </w:t>
      </w:r>
    </w:p>
    <w:p w14:paraId="59FCE584" w14:textId="68DC1C98" w:rsidR="00094524" w:rsidRPr="00652F1D" w:rsidRDefault="00094524" w:rsidP="00094524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 </w:t>
      </w:r>
      <w:proofErr w:type="gramStart"/>
      <w:r>
        <w:rPr>
          <w:rFonts w:ascii="Arial" w:hAnsi="Arial" w:cs="Arial"/>
          <w:bCs/>
        </w:rPr>
        <w:t>diskuzi</w:t>
      </w:r>
      <w:proofErr w:type="gramEnd"/>
      <w:r>
        <w:rPr>
          <w:rFonts w:ascii="Arial" w:hAnsi="Arial" w:cs="Arial"/>
          <w:bCs/>
        </w:rPr>
        <w:t xml:space="preserve"> výbor doporučil </w:t>
      </w:r>
      <w:r w:rsidR="00183778">
        <w:rPr>
          <w:rFonts w:ascii="Arial" w:hAnsi="Arial" w:cs="Arial"/>
          <w:bCs/>
        </w:rPr>
        <w:t>vyhodnocení</w:t>
      </w:r>
      <w:r>
        <w:rPr>
          <w:rFonts w:ascii="Arial" w:hAnsi="Arial" w:cs="Arial"/>
          <w:bCs/>
        </w:rPr>
        <w:t xml:space="preserve"> Programu na podporu vzdělávání na vysokých školách v Olomouckém kraji v roce 2024 ke schválení</w:t>
      </w:r>
      <w:r w:rsidR="00F20640">
        <w:rPr>
          <w:rFonts w:ascii="Arial" w:hAnsi="Arial" w:cs="Arial"/>
          <w:bCs/>
        </w:rPr>
        <w:t xml:space="preserve"> dle Přílohy č. </w:t>
      </w:r>
      <w:r w:rsidR="00183778">
        <w:rPr>
          <w:rFonts w:ascii="Arial" w:hAnsi="Arial" w:cs="Arial"/>
          <w:bCs/>
        </w:rPr>
        <w:t>1</w:t>
      </w:r>
      <w:r w:rsidR="00F20640">
        <w:rPr>
          <w:rFonts w:ascii="Arial" w:hAnsi="Arial" w:cs="Arial"/>
          <w:bCs/>
        </w:rPr>
        <w:t xml:space="preserve"> zápisu.</w:t>
      </w:r>
    </w:p>
    <w:p w14:paraId="55FDD291" w14:textId="77777777" w:rsidR="00230572" w:rsidRDefault="00230572" w:rsidP="00230572">
      <w:pPr>
        <w:pStyle w:val="Odstavecseseznamem"/>
        <w:rPr>
          <w:rFonts w:ascii="Arial" w:hAnsi="Arial" w:cs="Arial"/>
          <w:b/>
        </w:rPr>
      </w:pPr>
    </w:p>
    <w:p w14:paraId="0583E7CF" w14:textId="3F5B1DFB" w:rsidR="00230572" w:rsidRDefault="000368AB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Podpora mezinárodních výměnných pobytů mládeže a mezinárodních vzdělávacích programů v roce 2024 - vyhlášení</w:t>
      </w:r>
    </w:p>
    <w:p w14:paraId="37EA17AF" w14:textId="77777777" w:rsidR="00183778" w:rsidRDefault="00183778" w:rsidP="00183778">
      <w:pPr>
        <w:spacing w:before="120" w:after="120"/>
        <w:ind w:left="499"/>
        <w:jc w:val="both"/>
        <w:rPr>
          <w:rFonts w:ascii="Arial" w:hAnsi="Arial" w:cs="Arial"/>
        </w:rPr>
      </w:pPr>
      <w:r w:rsidRPr="00E245EF">
        <w:rPr>
          <w:rFonts w:ascii="Arial" w:hAnsi="Arial" w:cs="Arial"/>
        </w:rPr>
        <w:t>Cílem</w:t>
      </w:r>
      <w:r>
        <w:rPr>
          <w:rFonts w:ascii="Arial" w:hAnsi="Arial" w:cs="Arial"/>
        </w:rPr>
        <w:t xml:space="preserve"> </w:t>
      </w:r>
      <w:r w:rsidRPr="00D851A0">
        <w:rPr>
          <w:rFonts w:ascii="Arial" w:hAnsi="Arial" w:cs="Arial"/>
        </w:rPr>
        <w:t>Podpory mezinárodních výměnných pobytů mládeže a mezinárodních vzdělávacích programů v roce 20</w:t>
      </w:r>
      <w:r>
        <w:rPr>
          <w:rFonts w:ascii="Arial" w:hAnsi="Arial" w:cs="Arial"/>
        </w:rPr>
        <w:t>24</w:t>
      </w:r>
      <w:r w:rsidRPr="00E245EF">
        <w:rPr>
          <w:rFonts w:ascii="Arial" w:hAnsi="Arial" w:cs="Arial"/>
        </w:rPr>
        <w:t xml:space="preserve"> je podpora realizace mezinárodních výměn mládeže ze škol a školských zařízení zřizovaných Olomouckým krajem s mládeží ze zahraničních partnerských škol a školských zařízení, a to včetně akcí a projektových aktivit realizovaných v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 xml:space="preserve">rámci tzv. evropských vzdělávacích projektů sdružených 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programu Erasmus+ či v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rámci vzdělávacích projektů realizovaných s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podporou významných mezinárodních nadačních fondů (Visegrádský fond, Česko-německý fond budoucnosti apod.). Podpora bude dále poskytována na kofinancování výjezdu jednotlivce, skupiny dětí a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mládeže ze škol a školských zařízení zřizovaných Olomouckým krajem do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zahraničí za účelem</w:t>
      </w:r>
      <w:r>
        <w:rPr>
          <w:rFonts w:ascii="Arial" w:hAnsi="Arial" w:cs="Arial"/>
        </w:rPr>
        <w:t xml:space="preserve"> realizace mezinárodní výměny,</w:t>
      </w:r>
      <w:r w:rsidRPr="00E245EF">
        <w:rPr>
          <w:rFonts w:ascii="Arial" w:hAnsi="Arial" w:cs="Arial"/>
        </w:rPr>
        <w:t xml:space="preserve"> reprezentace školy na mezinárodní soutěži, mezinárodní přehlídce a</w:t>
      </w:r>
      <w:r>
        <w:rPr>
          <w:rFonts w:ascii="Arial" w:hAnsi="Arial" w:cs="Arial"/>
        </w:rPr>
        <w:t xml:space="preserve"> na realizaci programu Mezinárodní cena vévody z Edinburghu.</w:t>
      </w:r>
    </w:p>
    <w:p w14:paraId="2A9B736F" w14:textId="77777777" w:rsidR="00183778" w:rsidRDefault="00183778" w:rsidP="00183778">
      <w:pPr>
        <w:spacing w:before="120" w:after="120"/>
        <w:ind w:left="499"/>
        <w:jc w:val="both"/>
        <w:rPr>
          <w:rFonts w:ascii="Arial" w:hAnsi="Arial" w:cs="Arial"/>
        </w:rPr>
      </w:pPr>
      <w:r w:rsidRPr="00D851A0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D851A0">
        <w:rPr>
          <w:rFonts w:ascii="Arial" w:hAnsi="Arial" w:cs="Arial"/>
        </w:rPr>
        <w:t xml:space="preserve"> mezinárodních výměnných pobytů mládeže a mezinárodních vzdělávacích programů v roce 20</w:t>
      </w:r>
      <w:r>
        <w:rPr>
          <w:rFonts w:ascii="Arial" w:hAnsi="Arial" w:cs="Arial"/>
        </w:rPr>
        <w:t>24 se člení na čtyři oblasti:</w:t>
      </w:r>
    </w:p>
    <w:p w14:paraId="28A84184" w14:textId="77777777" w:rsidR="00183778" w:rsidRDefault="00183778" w:rsidP="00183778">
      <w:pPr>
        <w:pStyle w:val="Odstavecseseznamem"/>
        <w:numPr>
          <w:ilvl w:val="0"/>
          <w:numId w:val="38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851A0">
        <w:rPr>
          <w:rFonts w:ascii="Arial" w:eastAsia="Times New Roman" w:hAnsi="Arial" w:cs="Arial"/>
          <w:sz w:val="24"/>
          <w:szCs w:val="24"/>
          <w:lang w:eastAsia="cs-CZ"/>
        </w:rPr>
        <w:t>Oblast podpory 1 – Výjezd dětí a mládeže do zahraničí</w:t>
      </w:r>
    </w:p>
    <w:p w14:paraId="59E636C6" w14:textId="77777777" w:rsidR="00183778" w:rsidRDefault="00183778" w:rsidP="00183778">
      <w:pPr>
        <w:pStyle w:val="Odstavecseseznamem"/>
        <w:numPr>
          <w:ilvl w:val="0"/>
          <w:numId w:val="38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Oblast podpory 2 – </w:t>
      </w:r>
      <w:r w:rsidRPr="00FC596F">
        <w:rPr>
          <w:rFonts w:ascii="Arial" w:eastAsia="Times New Roman" w:hAnsi="Arial" w:cs="Arial"/>
          <w:sz w:val="24"/>
          <w:szCs w:val="24"/>
          <w:lang w:eastAsia="cs-CZ"/>
        </w:rPr>
        <w:t>Organizace výměnného pobytu pro děti, žáky a studenty ze zahraničních partnerských škol a školských zařízení</w:t>
      </w:r>
    </w:p>
    <w:p w14:paraId="6FD03141" w14:textId="77777777" w:rsidR="00183778" w:rsidRDefault="00183778" w:rsidP="00183778">
      <w:pPr>
        <w:pStyle w:val="Odstavecseseznamem"/>
        <w:numPr>
          <w:ilvl w:val="0"/>
          <w:numId w:val="38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Oblast podpory 3 – </w:t>
      </w:r>
      <w:r w:rsidRPr="00FC596F">
        <w:rPr>
          <w:rFonts w:ascii="Arial" w:eastAsia="Times New Roman" w:hAnsi="Arial" w:cs="Arial"/>
          <w:sz w:val="24"/>
          <w:szCs w:val="24"/>
          <w:lang w:eastAsia="cs-CZ"/>
        </w:rPr>
        <w:t>Kofinancování mezinárodních vzdělávacích programů</w:t>
      </w:r>
    </w:p>
    <w:p w14:paraId="20FE76F6" w14:textId="77777777" w:rsidR="00183778" w:rsidRPr="00D851A0" w:rsidRDefault="00183778" w:rsidP="00183778">
      <w:pPr>
        <w:pStyle w:val="Odstavecseseznamem"/>
        <w:numPr>
          <w:ilvl w:val="0"/>
          <w:numId w:val="38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Oblast podpory 4 – Realizace programu Mezinárodní cena vévody z Edinburghu</w:t>
      </w:r>
    </w:p>
    <w:p w14:paraId="5D268804" w14:textId="77777777" w:rsidR="00183778" w:rsidRDefault="00183778" w:rsidP="00183778">
      <w:pPr>
        <w:spacing w:before="120" w:after="120"/>
        <w:ind w:left="499"/>
        <w:jc w:val="both"/>
        <w:rPr>
          <w:rFonts w:ascii="Arial" w:hAnsi="Arial" w:cs="Arial"/>
        </w:rPr>
      </w:pPr>
    </w:p>
    <w:p w14:paraId="2DCD4C05" w14:textId="654C0101" w:rsidR="00183778" w:rsidRDefault="00183778" w:rsidP="00183778">
      <w:pPr>
        <w:spacing w:before="120" w:after="120"/>
        <w:ind w:left="499"/>
        <w:jc w:val="both"/>
        <w:rPr>
          <w:rFonts w:ascii="Arial" w:hAnsi="Arial" w:cs="Arial"/>
        </w:rPr>
      </w:pPr>
      <w:r w:rsidRPr="00857AD2">
        <w:rPr>
          <w:rFonts w:ascii="Arial" w:hAnsi="Arial" w:cs="Arial"/>
        </w:rPr>
        <w:t>V rozpočtu Olomouckého kraje je na Podporu mezinárodních výměnných pobytů mládeže a mezinárodních vzdělávacích programů v roce 202</w:t>
      </w:r>
      <w:r>
        <w:rPr>
          <w:rFonts w:ascii="Arial" w:hAnsi="Arial" w:cs="Arial"/>
        </w:rPr>
        <w:t>4</w:t>
      </w:r>
      <w:r w:rsidRPr="00857AD2">
        <w:rPr>
          <w:rFonts w:ascii="Arial" w:hAnsi="Arial" w:cs="Arial"/>
        </w:rPr>
        <w:t xml:space="preserve"> alokována částka </w:t>
      </w:r>
      <w:r w:rsidRPr="00857AD2">
        <w:rPr>
          <w:rFonts w:ascii="Arial" w:hAnsi="Arial" w:cs="Arial"/>
          <w:b/>
        </w:rPr>
        <w:t>500 000 Kč</w:t>
      </w:r>
      <w:r w:rsidRPr="00857AD2">
        <w:rPr>
          <w:rFonts w:ascii="Arial" w:hAnsi="Arial" w:cs="Arial"/>
        </w:rPr>
        <w:t>.</w:t>
      </w:r>
    </w:p>
    <w:p w14:paraId="5AC17249" w14:textId="5AD1B9F9" w:rsidR="00F20640" w:rsidRPr="00F20640" w:rsidRDefault="00F20640" w:rsidP="00183778">
      <w:pPr>
        <w:spacing w:after="120"/>
        <w:ind w:left="499"/>
        <w:jc w:val="both"/>
        <w:rPr>
          <w:rFonts w:ascii="Arial" w:hAnsi="Arial" w:cs="Arial"/>
        </w:rPr>
      </w:pPr>
      <w:r w:rsidRPr="00F20640">
        <w:rPr>
          <w:rFonts w:ascii="Arial" w:hAnsi="Arial" w:cs="Arial"/>
        </w:rPr>
        <w:t xml:space="preserve">Po </w:t>
      </w:r>
      <w:proofErr w:type="gramStart"/>
      <w:r w:rsidRPr="00F20640">
        <w:rPr>
          <w:rFonts w:ascii="Arial" w:hAnsi="Arial" w:cs="Arial"/>
        </w:rPr>
        <w:t>diskuzi</w:t>
      </w:r>
      <w:proofErr w:type="gramEnd"/>
      <w:r w:rsidRPr="00F20640">
        <w:rPr>
          <w:rFonts w:ascii="Arial" w:hAnsi="Arial" w:cs="Arial"/>
        </w:rPr>
        <w:t xml:space="preserve"> výbor doporučil pravidla </w:t>
      </w:r>
      <w:r w:rsidR="00183778">
        <w:rPr>
          <w:rFonts w:ascii="Arial" w:hAnsi="Arial" w:cs="Arial"/>
        </w:rPr>
        <w:t>na Podporu mezinárodních výměnných pobytů mládeže a mezinárodních vzdělávacích programů v roce 2024 d</w:t>
      </w:r>
      <w:r>
        <w:rPr>
          <w:rFonts w:ascii="Arial" w:hAnsi="Arial" w:cs="Arial"/>
        </w:rPr>
        <w:t xml:space="preserve">le Přílohy č. </w:t>
      </w:r>
      <w:r w:rsidR="0018377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zápisu.</w:t>
      </w:r>
    </w:p>
    <w:p w14:paraId="4A4A3E19" w14:textId="586A6C87" w:rsidR="00230572" w:rsidRDefault="00230572" w:rsidP="00230572">
      <w:pPr>
        <w:pStyle w:val="Odstavecseseznamem"/>
        <w:rPr>
          <w:rFonts w:ascii="Arial" w:hAnsi="Arial" w:cs="Arial"/>
          <w:b/>
        </w:rPr>
      </w:pPr>
    </w:p>
    <w:p w14:paraId="05D2548F" w14:textId="7102996F" w:rsidR="007F4302" w:rsidRDefault="007F4302" w:rsidP="00230572">
      <w:pPr>
        <w:pStyle w:val="Odstavecseseznamem"/>
        <w:rPr>
          <w:rFonts w:ascii="Arial" w:hAnsi="Arial" w:cs="Arial"/>
          <w:b/>
        </w:rPr>
      </w:pPr>
    </w:p>
    <w:p w14:paraId="0BC52CF7" w14:textId="265ABA1A" w:rsidR="007F4302" w:rsidRDefault="007F4302" w:rsidP="00230572">
      <w:pPr>
        <w:pStyle w:val="Odstavecseseznamem"/>
        <w:rPr>
          <w:rFonts w:ascii="Arial" w:hAnsi="Arial" w:cs="Arial"/>
          <w:b/>
        </w:rPr>
      </w:pPr>
    </w:p>
    <w:p w14:paraId="01A23E08" w14:textId="77777777" w:rsidR="007F4302" w:rsidRDefault="007F4302" w:rsidP="00230572">
      <w:pPr>
        <w:pStyle w:val="Odstavecseseznamem"/>
        <w:rPr>
          <w:rFonts w:ascii="Arial" w:hAnsi="Arial" w:cs="Arial"/>
          <w:b/>
        </w:rPr>
      </w:pPr>
    </w:p>
    <w:p w14:paraId="7217371C" w14:textId="52F8A643" w:rsidR="00230572" w:rsidRDefault="000368AB" w:rsidP="00A932C2">
      <w:pPr>
        <w:spacing w:after="120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230572">
        <w:rPr>
          <w:rFonts w:ascii="Arial" w:hAnsi="Arial" w:cs="Arial"/>
          <w:b/>
        </w:rPr>
        <w:t>.</w:t>
      </w:r>
      <w:r w:rsidR="00230572">
        <w:rPr>
          <w:rFonts w:ascii="Arial" w:hAnsi="Arial" w:cs="Arial"/>
          <w:b/>
        </w:rPr>
        <w:tab/>
        <w:t xml:space="preserve">Učitel roku </w:t>
      </w:r>
      <w:r w:rsidR="00ED3556">
        <w:rPr>
          <w:rFonts w:ascii="Arial" w:hAnsi="Arial" w:cs="Arial"/>
          <w:b/>
        </w:rPr>
        <w:t xml:space="preserve">Olomouckého kraje </w:t>
      </w:r>
      <w:r w:rsidR="00230572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- vyhodnocení</w:t>
      </w:r>
    </w:p>
    <w:p w14:paraId="09B9D00D" w14:textId="77777777" w:rsidR="00CB0157" w:rsidRPr="00CB0157" w:rsidRDefault="00CB0157" w:rsidP="00CB0157">
      <w:pPr>
        <w:tabs>
          <w:tab w:val="left" w:pos="6521"/>
        </w:tabs>
        <w:spacing w:before="120" w:after="120"/>
        <w:ind w:left="567"/>
        <w:jc w:val="both"/>
        <w:rPr>
          <w:rFonts w:ascii="Arial" w:hAnsi="Arial" w:cs="Arial"/>
        </w:rPr>
      </w:pPr>
      <w:r w:rsidRPr="00CB0157">
        <w:rPr>
          <w:rFonts w:ascii="Arial" w:hAnsi="Arial" w:cs="Arial"/>
        </w:rPr>
        <w:t>Akce Učitel roku Olomouckého kraje má dlouhou a úspěšnou tradici. Letos se koná již čtrnáctý ročník. Jejím cílem je ocenit vybrané pedagogy středních škol, vyšších odborných škol, speciálních škol, základních uměleckých škol, dětských domovů, pedagogicko-psychologických poraden a domů dětí a mládeže se sídlem v Olomouckém kraji za jejich náročnou a záslužnou práci a zároveň vhodnou formou připomenout široké veřejnosti významnou úlohu učitelů a pedagogických pracovníků v naší společnosti.</w:t>
      </w:r>
      <w:r w:rsidRPr="00CB0157">
        <w:rPr>
          <w:rFonts w:ascii="Arial" w:hAnsi="Arial" w:cs="Arial"/>
          <w:b/>
        </w:rPr>
        <w:t xml:space="preserve"> </w:t>
      </w:r>
      <w:r w:rsidRPr="00CB0157">
        <w:rPr>
          <w:rFonts w:ascii="Arial" w:hAnsi="Arial" w:cs="Arial"/>
        </w:rPr>
        <w:t>Účelem akce je také popularizace učitelství, sdílení zkušeností a dobré praxe.</w:t>
      </w:r>
    </w:p>
    <w:p w14:paraId="386F26EA" w14:textId="77777777" w:rsidR="00CB0157" w:rsidRPr="00CB0157" w:rsidRDefault="00CB0157" w:rsidP="00CB0157">
      <w:pPr>
        <w:tabs>
          <w:tab w:val="left" w:pos="6521"/>
        </w:tabs>
        <w:spacing w:before="120" w:after="120"/>
        <w:ind w:left="567"/>
        <w:jc w:val="both"/>
        <w:rPr>
          <w:rFonts w:ascii="Arial" w:hAnsi="Arial" w:cs="Arial"/>
        </w:rPr>
      </w:pPr>
      <w:r w:rsidRPr="00CB0157">
        <w:rPr>
          <w:rFonts w:ascii="Arial" w:hAnsi="Arial" w:cs="Arial"/>
        </w:rPr>
        <w:t>V rámci letošního ročníku proběhl sběr nominací v termínu do 22. 12. 2023, přičemž nominace mohli prostřednictvím nominačního formuláře předkládat statutární zástupci škol a školských zařízení, ostatní pedagogové, žáci i široká veřejnost. Následovala administrativní i obsahová kontrola a sběr učitelských příběhů od samotných navržených pedagogů, jenž probíhá v termínu do 31. 1. 2024.</w:t>
      </w:r>
    </w:p>
    <w:p w14:paraId="1B34AE96" w14:textId="3662AE06" w:rsidR="00CB0157" w:rsidRPr="00CB0157" w:rsidRDefault="00CB0157" w:rsidP="00CB0157">
      <w:pPr>
        <w:tabs>
          <w:tab w:val="left" w:pos="6521"/>
        </w:tabs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výboru</w:t>
      </w:r>
      <w:r w:rsidRPr="00CB01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obdrželi</w:t>
      </w:r>
      <w:r w:rsidRPr="00CB0157">
        <w:rPr>
          <w:rFonts w:ascii="Arial" w:hAnsi="Arial" w:cs="Arial"/>
        </w:rPr>
        <w:t xml:space="preserve"> seznam 23 nominovaných pedagogů, kteří naplnili pravidla ocenění a souhlasili se svou nominací. Z takto navržených pedagogů </w:t>
      </w:r>
      <w:r>
        <w:rPr>
          <w:rFonts w:ascii="Arial" w:hAnsi="Arial" w:cs="Arial"/>
        </w:rPr>
        <w:t>výbor</w:t>
      </w:r>
      <w:r w:rsidRPr="00CB0157">
        <w:rPr>
          <w:rFonts w:ascii="Arial" w:hAnsi="Arial" w:cs="Arial"/>
        </w:rPr>
        <w:t xml:space="preserve"> vybere 15 laureátů, kteří budou oceněni při slavnostním ceremoniálu. Ten se bude konat </w:t>
      </w:r>
      <w:r w:rsidRPr="00CB0157">
        <w:rPr>
          <w:rFonts w:ascii="Arial" w:hAnsi="Arial" w:cs="Arial"/>
          <w:b/>
          <w:bCs/>
        </w:rPr>
        <w:t>3.</w:t>
      </w:r>
      <w:r w:rsidRPr="00CB0157">
        <w:rPr>
          <w:rFonts w:ascii="Arial" w:hAnsi="Arial" w:cs="Arial"/>
          <w:b/>
        </w:rPr>
        <w:t xml:space="preserve"> dubna 2024</w:t>
      </w:r>
      <w:r w:rsidRPr="00CB0157">
        <w:rPr>
          <w:rFonts w:ascii="Arial" w:hAnsi="Arial" w:cs="Arial"/>
        </w:rPr>
        <w:t xml:space="preserve"> ve </w:t>
      </w:r>
      <w:r w:rsidRPr="00CB0157">
        <w:rPr>
          <w:rFonts w:ascii="Arial" w:hAnsi="Arial" w:cs="Arial"/>
          <w:b/>
        </w:rPr>
        <w:t>Velké aule Pedagogické fakulty Univerzity Palackého v Olomouci</w:t>
      </w:r>
      <w:r w:rsidRPr="00CB0157">
        <w:rPr>
          <w:rFonts w:ascii="Arial" w:hAnsi="Arial" w:cs="Arial"/>
        </w:rPr>
        <w:t>.</w:t>
      </w:r>
    </w:p>
    <w:p w14:paraId="7CC4172B" w14:textId="77777777" w:rsidR="00CB0157" w:rsidRDefault="00CB0157" w:rsidP="00CB0157">
      <w:pPr>
        <w:pStyle w:val="Bezmezer"/>
        <w:jc w:val="both"/>
        <w:rPr>
          <w:rFonts w:ascii="Arial" w:hAnsi="Arial" w:cs="Arial"/>
          <w:sz w:val="24"/>
          <w:szCs w:val="24"/>
          <w:lang w:val="cs-CZ"/>
        </w:rPr>
      </w:pPr>
    </w:p>
    <w:p w14:paraId="5C811580" w14:textId="471EEC0B" w:rsidR="00036875" w:rsidRDefault="00036875" w:rsidP="00036875">
      <w:pPr>
        <w:pStyle w:val="Bezmezer"/>
        <w:ind w:left="567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Výbor doporučil ocenění k</w:t>
      </w:r>
      <w:r w:rsidR="00CB0157">
        <w:rPr>
          <w:rFonts w:ascii="Arial" w:hAnsi="Arial" w:cs="Arial"/>
          <w:sz w:val="24"/>
          <w:szCs w:val="24"/>
          <w:lang w:val="cs-CZ"/>
        </w:rPr>
        <w:t> </w:t>
      </w:r>
      <w:r>
        <w:rPr>
          <w:rFonts w:ascii="Arial" w:hAnsi="Arial" w:cs="Arial"/>
          <w:sz w:val="24"/>
          <w:szCs w:val="24"/>
          <w:lang w:val="cs-CZ"/>
        </w:rPr>
        <w:t>realizaci</w:t>
      </w:r>
      <w:r w:rsidR="00CB0157">
        <w:rPr>
          <w:rFonts w:ascii="Arial" w:hAnsi="Arial" w:cs="Arial"/>
          <w:sz w:val="24"/>
          <w:szCs w:val="24"/>
          <w:lang w:val="cs-CZ"/>
        </w:rPr>
        <w:t xml:space="preserve"> a určil za členy komise pro posuzování nominací na ocenění Mgr. Jakuba Dolníčka, Mgr. Martu Husičkovou, Mgr. Michala Tesaře, Mgr. Ing. Hanu Vackovou, Mgr. Bc. et Mgr. Jiřího </w:t>
      </w:r>
      <w:proofErr w:type="spellStart"/>
      <w:proofErr w:type="gramStart"/>
      <w:r w:rsidR="00CB0157">
        <w:rPr>
          <w:rFonts w:ascii="Arial" w:hAnsi="Arial" w:cs="Arial"/>
          <w:sz w:val="24"/>
          <w:szCs w:val="24"/>
          <w:lang w:val="cs-CZ"/>
        </w:rPr>
        <w:t>Viternu</w:t>
      </w:r>
      <w:proofErr w:type="spellEnd"/>
      <w:r w:rsidR="00CB0157">
        <w:rPr>
          <w:rFonts w:ascii="Arial" w:hAnsi="Arial" w:cs="Arial"/>
          <w:sz w:val="24"/>
          <w:szCs w:val="24"/>
          <w:lang w:val="cs-CZ"/>
        </w:rPr>
        <w:t>,,</w:t>
      </w:r>
      <w:proofErr w:type="gramEnd"/>
      <w:r w:rsidR="00CB0157">
        <w:rPr>
          <w:rFonts w:ascii="Arial" w:hAnsi="Arial" w:cs="Arial"/>
          <w:sz w:val="24"/>
          <w:szCs w:val="24"/>
          <w:lang w:val="cs-CZ"/>
        </w:rPr>
        <w:t xml:space="preserve"> MBA, </w:t>
      </w:r>
      <w:proofErr w:type="spellStart"/>
      <w:r w:rsidR="00CB0157">
        <w:rPr>
          <w:rFonts w:ascii="Arial" w:hAnsi="Arial" w:cs="Arial"/>
          <w:sz w:val="24"/>
          <w:szCs w:val="24"/>
          <w:lang w:val="cs-CZ"/>
        </w:rPr>
        <w:t>MSc</w:t>
      </w:r>
      <w:proofErr w:type="spellEnd"/>
      <w:r w:rsidR="00C931E8">
        <w:rPr>
          <w:rFonts w:ascii="Arial" w:hAnsi="Arial" w:cs="Arial"/>
          <w:sz w:val="24"/>
          <w:szCs w:val="24"/>
          <w:lang w:val="cs-CZ"/>
        </w:rPr>
        <w:t>.</w:t>
      </w:r>
      <w:r w:rsidR="00CB0157">
        <w:rPr>
          <w:rFonts w:ascii="Arial" w:hAnsi="Arial" w:cs="Arial"/>
          <w:sz w:val="24"/>
          <w:szCs w:val="24"/>
          <w:lang w:val="cs-CZ"/>
        </w:rPr>
        <w:t xml:space="preserve">, Mgr. Jakuba Knápka a Mgr. Jitku Janečkovou </w:t>
      </w:r>
      <w:proofErr w:type="spellStart"/>
      <w:r w:rsidR="00CB0157">
        <w:rPr>
          <w:rFonts w:ascii="Arial" w:hAnsi="Arial" w:cs="Arial"/>
          <w:sz w:val="24"/>
          <w:szCs w:val="24"/>
          <w:lang w:val="cs-CZ"/>
        </w:rPr>
        <w:t>Moťkovou</w:t>
      </w:r>
      <w:proofErr w:type="spellEnd"/>
      <w:r w:rsidR="00CB0157">
        <w:rPr>
          <w:rFonts w:ascii="Arial" w:hAnsi="Arial" w:cs="Arial"/>
          <w:sz w:val="24"/>
          <w:szCs w:val="24"/>
          <w:lang w:val="cs-CZ"/>
        </w:rPr>
        <w:t xml:space="preserve"> (zástupkyně Krajské hospodářské komory).</w:t>
      </w:r>
    </w:p>
    <w:p w14:paraId="5F22B7B9" w14:textId="77777777" w:rsidR="00F20640" w:rsidRDefault="00F20640" w:rsidP="00183778">
      <w:pPr>
        <w:spacing w:after="120"/>
        <w:jc w:val="both"/>
        <w:rPr>
          <w:rFonts w:ascii="Arial" w:hAnsi="Arial" w:cs="Arial"/>
          <w:b/>
        </w:rPr>
      </w:pPr>
    </w:p>
    <w:p w14:paraId="5EC92830" w14:textId="51978314" w:rsidR="000904CA" w:rsidRDefault="000368AB" w:rsidP="000368AB">
      <w:pPr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904CA" w:rsidRPr="00F23521">
        <w:rPr>
          <w:rFonts w:ascii="Arial" w:hAnsi="Arial" w:cs="Arial"/>
          <w:b/>
        </w:rPr>
        <w:t xml:space="preserve">.   </w:t>
      </w:r>
      <w:r>
        <w:rPr>
          <w:rFonts w:ascii="Arial" w:hAnsi="Arial" w:cs="Arial"/>
          <w:b/>
        </w:rPr>
        <w:t>Talent Olomouckého kraje 2024 – vyhlášení veřejného příslibu</w:t>
      </w:r>
    </w:p>
    <w:p w14:paraId="3C8C866F" w14:textId="77777777" w:rsidR="00F437DF" w:rsidRDefault="00F437DF" w:rsidP="000368AB">
      <w:pPr>
        <w:ind w:firstLine="142"/>
        <w:rPr>
          <w:rFonts w:ascii="Arial" w:hAnsi="Arial" w:cs="Arial"/>
          <w:b/>
        </w:rPr>
      </w:pPr>
    </w:p>
    <w:p w14:paraId="5A52CC3E" w14:textId="77777777" w:rsidR="00F437DF" w:rsidRPr="002E1227" w:rsidRDefault="00F437DF" w:rsidP="00F437DF">
      <w:pPr>
        <w:spacing w:after="120"/>
        <w:ind w:left="56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 xml:space="preserve">Ocenění </w:t>
      </w:r>
      <w:r>
        <w:rPr>
          <w:rFonts w:ascii="Arial" w:hAnsi="Arial" w:cs="Arial"/>
          <w:b/>
        </w:rPr>
        <w:t>Talent Olomouckého kraje 2024</w:t>
      </w:r>
      <w:r w:rsidRPr="002E1227">
        <w:rPr>
          <w:rFonts w:ascii="Arial" w:hAnsi="Arial" w:cs="Arial"/>
        </w:rPr>
        <w:t xml:space="preserve"> je určeno pro žáky a studenty škol a školských zařízení se sídlem na území Olomouckého kraje, kteří ve stanovených věkových kategoriích a určených oborech dosahují v systému olympiád, soutěží a přehlídek významných úspěchů ve veřejném zájmu a v souladu s cíli Olomouckého kraje. Ocenění je dále určeno pro školy a školská zařízení zapsané v rejstříku škol a školských zařízení se sídlem na území Olomouckého kraje, jejichž žáci a studenti dosahují v určených oborech olympiád, soutěží a přehlídek předních umístění. Ocenění vychází z Dlouhodobého záměru vzdělávání a</w:t>
      </w:r>
      <w:r>
        <w:rPr>
          <w:rFonts w:ascii="Arial" w:hAnsi="Arial" w:cs="Arial"/>
        </w:rPr>
        <w:t> </w:t>
      </w:r>
      <w:r w:rsidRPr="002E1227">
        <w:rPr>
          <w:rFonts w:ascii="Arial" w:hAnsi="Arial" w:cs="Arial"/>
        </w:rPr>
        <w:t xml:space="preserve">rozvoje vzdělávací soustavy v Olomouckém kraji. </w:t>
      </w:r>
    </w:p>
    <w:p w14:paraId="35725C50" w14:textId="77777777" w:rsidR="00F437DF" w:rsidRPr="002E1227" w:rsidRDefault="00F437DF" w:rsidP="00F437DF">
      <w:pPr>
        <w:spacing w:after="60"/>
        <w:ind w:left="56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Oceně</w:t>
      </w:r>
      <w:r>
        <w:rPr>
          <w:rFonts w:ascii="Arial" w:hAnsi="Arial" w:cs="Arial"/>
        </w:rPr>
        <w:t>ní Talent Olomouckého kraje 2024</w:t>
      </w:r>
      <w:r w:rsidRPr="002E1227">
        <w:rPr>
          <w:rFonts w:ascii="Arial" w:hAnsi="Arial" w:cs="Arial"/>
        </w:rPr>
        <w:t xml:space="preserve"> se uděluje </w:t>
      </w:r>
      <w:r w:rsidRPr="002E1227">
        <w:rPr>
          <w:rFonts w:ascii="Arial" w:hAnsi="Arial" w:cs="Arial"/>
          <w:b/>
          <w:u w:val="single"/>
        </w:rPr>
        <w:t>ve dvou věkových kategoriích</w:t>
      </w:r>
      <w:r w:rsidRPr="002E1227">
        <w:rPr>
          <w:rFonts w:ascii="Arial" w:hAnsi="Arial" w:cs="Arial"/>
        </w:rPr>
        <w:t>:</w:t>
      </w:r>
    </w:p>
    <w:p w14:paraId="7F4C3137" w14:textId="77777777" w:rsidR="00F437DF" w:rsidRPr="002E1227" w:rsidRDefault="00F437DF" w:rsidP="00F437DF">
      <w:pPr>
        <w:numPr>
          <w:ilvl w:val="1"/>
          <w:numId w:val="36"/>
        </w:numPr>
        <w:tabs>
          <w:tab w:val="clear" w:pos="1004"/>
          <w:tab w:val="num" w:pos="1571"/>
        </w:tabs>
        <w:spacing w:after="60"/>
        <w:ind w:left="1647"/>
        <w:jc w:val="both"/>
        <w:rPr>
          <w:rFonts w:ascii="Arial" w:hAnsi="Arial" w:cs="Arial"/>
        </w:rPr>
      </w:pPr>
      <w:r w:rsidRPr="002E1227">
        <w:rPr>
          <w:rFonts w:ascii="Arial" w:hAnsi="Arial" w:cs="Arial"/>
          <w:b/>
          <w:i/>
        </w:rPr>
        <w:t>I. kategorie:</w:t>
      </w:r>
      <w:r w:rsidRPr="002E1227">
        <w:rPr>
          <w:rFonts w:ascii="Arial" w:hAnsi="Arial" w:cs="Arial"/>
        </w:rPr>
        <w:t xml:space="preserve"> žáci II. stupně základních škol a 1. - 4. ročníků víceletých gymnázií a</w:t>
      </w:r>
      <w:r>
        <w:rPr>
          <w:rFonts w:ascii="Arial" w:hAnsi="Arial" w:cs="Arial"/>
        </w:rPr>
        <w:t> </w:t>
      </w:r>
      <w:r w:rsidRPr="002E1227">
        <w:rPr>
          <w:rFonts w:ascii="Arial" w:hAnsi="Arial" w:cs="Arial"/>
        </w:rPr>
        <w:t>odpovídajících ročníků základních uměleckých škol.</w:t>
      </w:r>
    </w:p>
    <w:p w14:paraId="2909081D" w14:textId="77777777" w:rsidR="00F437DF" w:rsidRPr="002E1227" w:rsidRDefault="00F437DF" w:rsidP="00F437DF">
      <w:pPr>
        <w:numPr>
          <w:ilvl w:val="1"/>
          <w:numId w:val="36"/>
        </w:numPr>
        <w:tabs>
          <w:tab w:val="clear" w:pos="1004"/>
          <w:tab w:val="num" w:pos="1571"/>
        </w:tabs>
        <w:ind w:left="1647"/>
        <w:jc w:val="both"/>
        <w:rPr>
          <w:rFonts w:ascii="Arial" w:hAnsi="Arial" w:cs="Arial"/>
        </w:rPr>
      </w:pPr>
      <w:r w:rsidRPr="002E1227">
        <w:rPr>
          <w:rFonts w:ascii="Arial" w:hAnsi="Arial" w:cs="Arial"/>
          <w:b/>
          <w:i/>
        </w:rPr>
        <w:t xml:space="preserve">II. </w:t>
      </w:r>
      <w:r w:rsidRPr="002E1227">
        <w:rPr>
          <w:rFonts w:ascii="Arial" w:hAnsi="Arial" w:cs="Arial"/>
          <w:b/>
          <w:i/>
          <w:color w:val="000000"/>
        </w:rPr>
        <w:t>kategorie:</w:t>
      </w:r>
      <w:r w:rsidRPr="002E1227">
        <w:rPr>
          <w:rFonts w:ascii="Arial" w:hAnsi="Arial" w:cs="Arial"/>
          <w:color w:val="000000"/>
        </w:rPr>
        <w:t xml:space="preserve"> žáci a studenti středních</w:t>
      </w:r>
      <w:r w:rsidRPr="002E1227">
        <w:rPr>
          <w:rFonts w:ascii="Arial" w:hAnsi="Arial" w:cs="Arial"/>
        </w:rPr>
        <w:t xml:space="preserve"> škol, vyšších odborných škol a 5. - 8. ročníků víceletých gymnázií, konzervatoří a odpovídajících ročníků základních uměleckých škol.</w:t>
      </w:r>
    </w:p>
    <w:p w14:paraId="5A890132" w14:textId="77777777" w:rsidR="00F437DF" w:rsidRPr="002E1227" w:rsidRDefault="00F437DF" w:rsidP="00F437DF">
      <w:pPr>
        <w:ind w:left="567"/>
        <w:jc w:val="both"/>
        <w:rPr>
          <w:rFonts w:ascii="Arial" w:hAnsi="Arial" w:cs="Arial"/>
        </w:rPr>
      </w:pPr>
    </w:p>
    <w:p w14:paraId="54FFD200" w14:textId="77777777" w:rsidR="00F437DF" w:rsidRPr="00910D5F" w:rsidRDefault="00F437DF" w:rsidP="00F437DF">
      <w:pPr>
        <w:spacing w:after="60"/>
        <w:ind w:left="56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 xml:space="preserve">Ocenění Talent Olomouckého kraje se uděluje </w:t>
      </w:r>
      <w:r w:rsidRPr="002E1227">
        <w:rPr>
          <w:rFonts w:ascii="Arial" w:hAnsi="Arial" w:cs="Arial"/>
          <w:u w:val="single"/>
        </w:rPr>
        <w:t xml:space="preserve">pouze </w:t>
      </w:r>
      <w:r w:rsidRPr="002E1227">
        <w:rPr>
          <w:rFonts w:ascii="Arial" w:hAnsi="Arial" w:cs="Arial"/>
          <w:b/>
          <w:u w:val="single"/>
        </w:rPr>
        <w:t>jednotlivcům</w:t>
      </w:r>
      <w:r w:rsidRPr="002E1227">
        <w:rPr>
          <w:rFonts w:ascii="Arial" w:hAnsi="Arial" w:cs="Arial"/>
          <w:u w:val="single"/>
        </w:rPr>
        <w:t xml:space="preserve"> v těchto oborech</w:t>
      </w:r>
      <w:r w:rsidRPr="002E1227">
        <w:rPr>
          <w:rFonts w:ascii="Arial" w:hAnsi="Arial" w:cs="Arial"/>
        </w:rPr>
        <w:t>:</w:t>
      </w:r>
    </w:p>
    <w:p w14:paraId="752826FC" w14:textId="77777777" w:rsidR="00F437DF" w:rsidRPr="002E1227" w:rsidRDefault="00F437DF" w:rsidP="00F437DF">
      <w:pPr>
        <w:numPr>
          <w:ilvl w:val="0"/>
          <w:numId w:val="37"/>
        </w:numPr>
        <w:tabs>
          <w:tab w:val="clear" w:pos="992"/>
          <w:tab w:val="num" w:pos="1559"/>
        </w:tabs>
        <w:spacing w:after="60"/>
        <w:ind w:left="1633" w:hanging="35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humanitním;</w:t>
      </w:r>
    </w:p>
    <w:p w14:paraId="206C7B59" w14:textId="77777777" w:rsidR="00F437DF" w:rsidRPr="002E1227" w:rsidRDefault="00F437DF" w:rsidP="00F437DF">
      <w:pPr>
        <w:numPr>
          <w:ilvl w:val="0"/>
          <w:numId w:val="37"/>
        </w:numPr>
        <w:tabs>
          <w:tab w:val="clear" w:pos="992"/>
          <w:tab w:val="num" w:pos="1559"/>
        </w:tabs>
        <w:spacing w:after="60"/>
        <w:ind w:left="1633" w:hanging="35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přírodovědném;</w:t>
      </w:r>
    </w:p>
    <w:p w14:paraId="7CC4CB16" w14:textId="77777777" w:rsidR="00F437DF" w:rsidRPr="002E1227" w:rsidRDefault="00F437DF" w:rsidP="00F437DF">
      <w:pPr>
        <w:numPr>
          <w:ilvl w:val="0"/>
          <w:numId w:val="37"/>
        </w:numPr>
        <w:tabs>
          <w:tab w:val="clear" w:pos="992"/>
          <w:tab w:val="num" w:pos="1559"/>
        </w:tabs>
        <w:spacing w:after="60"/>
        <w:ind w:left="1633" w:hanging="35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technickém a dovednostním;</w:t>
      </w:r>
    </w:p>
    <w:p w14:paraId="24B00F51" w14:textId="77777777" w:rsidR="00F437DF" w:rsidRPr="002E1227" w:rsidRDefault="00F437DF" w:rsidP="00F437DF">
      <w:pPr>
        <w:numPr>
          <w:ilvl w:val="0"/>
          <w:numId w:val="37"/>
        </w:numPr>
        <w:tabs>
          <w:tab w:val="clear" w:pos="992"/>
          <w:tab w:val="num" w:pos="1559"/>
        </w:tabs>
        <w:spacing w:after="60"/>
        <w:ind w:left="1633" w:hanging="357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t>uměleckém;</w:t>
      </w:r>
    </w:p>
    <w:p w14:paraId="114867E0" w14:textId="77777777" w:rsidR="00F437DF" w:rsidRDefault="00F437DF" w:rsidP="00F437DF">
      <w:pPr>
        <w:numPr>
          <w:ilvl w:val="0"/>
          <w:numId w:val="37"/>
        </w:numPr>
        <w:tabs>
          <w:tab w:val="clear" w:pos="992"/>
          <w:tab w:val="num" w:pos="1559"/>
        </w:tabs>
        <w:ind w:left="1635"/>
        <w:jc w:val="both"/>
        <w:rPr>
          <w:rFonts w:ascii="Arial" w:hAnsi="Arial" w:cs="Arial"/>
        </w:rPr>
      </w:pPr>
      <w:r w:rsidRPr="002E1227">
        <w:rPr>
          <w:rFonts w:ascii="Arial" w:hAnsi="Arial" w:cs="Arial"/>
        </w:rPr>
        <w:lastRenderedPageBreak/>
        <w:t>sportovním.</w:t>
      </w:r>
    </w:p>
    <w:p w14:paraId="21C5C0DD" w14:textId="77777777" w:rsidR="00F437DF" w:rsidRDefault="00F437DF" w:rsidP="00F437DF">
      <w:pPr>
        <w:ind w:left="567"/>
        <w:jc w:val="both"/>
        <w:rPr>
          <w:rFonts w:ascii="Arial" w:hAnsi="Arial" w:cs="Arial"/>
        </w:rPr>
      </w:pPr>
    </w:p>
    <w:p w14:paraId="3A849283" w14:textId="77777777" w:rsidR="00F437DF" w:rsidRPr="006F5C8A" w:rsidRDefault="00F437DF" w:rsidP="00F437DF">
      <w:pPr>
        <w:ind w:left="567"/>
        <w:jc w:val="both"/>
        <w:rPr>
          <w:rFonts w:ascii="Arial" w:hAnsi="Arial" w:cs="Arial"/>
        </w:rPr>
      </w:pPr>
      <w:r w:rsidRPr="006F5C8A">
        <w:rPr>
          <w:rFonts w:ascii="Arial" w:hAnsi="Arial" w:cs="Arial"/>
        </w:rPr>
        <w:t xml:space="preserve">Speciálním oborem ocenění, který je z předchozí iniciativy Výboru pro výchovu vzdělávání a zaměstnanost Zastupitelstva Olomouckého kraje (ZOK) předkládán ke schválení, je ocenění v oboru společenské odpovědnosti. </w:t>
      </w:r>
    </w:p>
    <w:p w14:paraId="0AF57639" w14:textId="77777777" w:rsidR="00F437DF" w:rsidRPr="006F5C8A" w:rsidRDefault="00F437DF" w:rsidP="00F437DF">
      <w:pPr>
        <w:ind w:left="567"/>
        <w:jc w:val="both"/>
        <w:rPr>
          <w:rFonts w:ascii="Arial" w:hAnsi="Arial" w:cs="Arial"/>
        </w:rPr>
      </w:pPr>
    </w:p>
    <w:p w14:paraId="05C518E4" w14:textId="77777777" w:rsidR="00F437DF" w:rsidRDefault="00F437DF" w:rsidP="00F437DF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Celkový rozpočet ocenění Talent Olomouckého kraje 2024 činí 580 000 Kč. </w:t>
      </w:r>
    </w:p>
    <w:p w14:paraId="75588E6F" w14:textId="77777777" w:rsidR="00F437DF" w:rsidRPr="00910D5F" w:rsidRDefault="00F437DF" w:rsidP="00F437DF">
      <w:pPr>
        <w:ind w:left="1275"/>
        <w:jc w:val="both"/>
        <w:rPr>
          <w:rFonts w:ascii="Arial" w:hAnsi="Arial" w:cs="Arial"/>
        </w:rPr>
      </w:pPr>
    </w:p>
    <w:p w14:paraId="4E778CE4" w14:textId="77777777" w:rsidR="00D454B0" w:rsidRDefault="00F437DF" w:rsidP="00F437DF">
      <w:pPr>
        <w:ind w:left="567"/>
        <w:jc w:val="both"/>
        <w:rPr>
          <w:rFonts w:ascii="Arial" w:hAnsi="Arial" w:cs="Arial"/>
          <w:color w:val="000000"/>
        </w:rPr>
      </w:pPr>
      <w:r w:rsidRPr="00910D5F">
        <w:rPr>
          <w:rFonts w:ascii="Arial" w:hAnsi="Arial" w:cs="Arial"/>
          <w:color w:val="000000"/>
        </w:rPr>
        <w:t xml:space="preserve">Přihlášky s nominacemi žáků a studentů musí být doručeny v termínu </w:t>
      </w:r>
      <w:r>
        <w:rPr>
          <w:rFonts w:ascii="Arial" w:hAnsi="Arial" w:cs="Arial"/>
          <w:color w:val="000000"/>
        </w:rPr>
        <w:t>od 20. 5. 2024</w:t>
      </w:r>
      <w:r w:rsidRPr="00910D5F">
        <w:rPr>
          <w:rFonts w:ascii="Arial" w:hAnsi="Arial" w:cs="Arial"/>
          <w:color w:val="000000"/>
        </w:rPr>
        <w:t xml:space="preserve"> do</w:t>
      </w:r>
      <w:r>
        <w:rPr>
          <w:rFonts w:ascii="Arial" w:hAnsi="Arial" w:cs="Arial"/>
          <w:color w:val="000000"/>
        </w:rPr>
        <w:t xml:space="preserve"> 8</w:t>
      </w:r>
      <w:r w:rsidRPr="00910D5F"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t>7. 2024</w:t>
      </w:r>
      <w:r w:rsidRPr="00910D5F">
        <w:rPr>
          <w:rFonts w:ascii="Arial" w:hAnsi="Arial" w:cs="Arial"/>
          <w:color w:val="000000"/>
        </w:rPr>
        <w:t xml:space="preserve">.  </w:t>
      </w:r>
      <w:r w:rsidRPr="00910D5F">
        <w:rPr>
          <w:rFonts w:ascii="Arial" w:hAnsi="Arial" w:cs="Arial"/>
        </w:rPr>
        <w:t xml:space="preserve">Nominace mohou být podávány za úspěchy dosažené v </w:t>
      </w:r>
      <w:r w:rsidRPr="00910D5F">
        <w:rPr>
          <w:rFonts w:ascii="Arial" w:hAnsi="Arial" w:cs="Arial"/>
          <w:color w:val="000000"/>
        </w:rPr>
        <w:t xml:space="preserve">období </w:t>
      </w:r>
    </w:p>
    <w:p w14:paraId="615D2D96" w14:textId="5321B05C" w:rsidR="00F437DF" w:rsidRDefault="00F437DF" w:rsidP="00F437DF">
      <w:pPr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7. 2023 – 30. 6. 2024</w:t>
      </w:r>
      <w:r w:rsidRPr="00910D5F">
        <w:rPr>
          <w:rFonts w:ascii="Arial" w:hAnsi="Arial" w:cs="Arial"/>
          <w:color w:val="000000"/>
        </w:rPr>
        <w:t>.</w:t>
      </w:r>
    </w:p>
    <w:p w14:paraId="17F8C47E" w14:textId="1AA0B244" w:rsidR="00F437DF" w:rsidRDefault="00F437DF" w:rsidP="00F437DF">
      <w:pPr>
        <w:ind w:left="567"/>
        <w:jc w:val="both"/>
        <w:rPr>
          <w:rFonts w:ascii="Arial" w:hAnsi="Arial" w:cs="Arial"/>
          <w:color w:val="000000"/>
        </w:rPr>
      </w:pPr>
    </w:p>
    <w:p w14:paraId="21E38B09" w14:textId="1F5602A0" w:rsidR="00F437DF" w:rsidRPr="00910D5F" w:rsidRDefault="00F437DF" w:rsidP="00F437DF">
      <w:pPr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Výbor doporučil vyhlášení veřejného příslibu schválit dle Přílohy č. 3 zápisu.</w:t>
      </w:r>
    </w:p>
    <w:p w14:paraId="6617A93A" w14:textId="77777777" w:rsidR="00A86C26" w:rsidRPr="00F23521" w:rsidRDefault="00A86C26" w:rsidP="00F23521">
      <w:pPr>
        <w:ind w:firstLine="142"/>
        <w:rPr>
          <w:rFonts w:ascii="Arial" w:hAnsi="Arial" w:cs="Arial"/>
          <w:b/>
        </w:rPr>
      </w:pPr>
    </w:p>
    <w:p w14:paraId="3D8F5F66" w14:textId="4D095C19" w:rsidR="008651F0" w:rsidRDefault="000368AB" w:rsidP="00F437DF">
      <w:pPr>
        <w:ind w:left="510" w:hanging="37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8651F0">
        <w:rPr>
          <w:rFonts w:ascii="Arial" w:hAnsi="Arial" w:cs="Arial"/>
          <w:b/>
        </w:rPr>
        <w:t>.</w:t>
      </w:r>
      <w:r w:rsidR="008651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Výroční zpráva o stavu a rozvoji vzdělávací soustavy v Olomouckém kraji v školním roce 2022/2023</w:t>
      </w:r>
    </w:p>
    <w:p w14:paraId="404B9BC7" w14:textId="77777777" w:rsidR="00F14594" w:rsidRDefault="00F14594" w:rsidP="008651F0">
      <w:pPr>
        <w:rPr>
          <w:rFonts w:ascii="Arial" w:hAnsi="Arial" w:cs="Arial"/>
          <w:b/>
        </w:rPr>
      </w:pPr>
    </w:p>
    <w:p w14:paraId="3E16F97A" w14:textId="043849EC" w:rsidR="000368AB" w:rsidRDefault="000368AB" w:rsidP="000368AB">
      <w:pPr>
        <w:pStyle w:val="Zkladntext"/>
        <w:spacing w:after="60"/>
        <w:ind w:left="499"/>
        <w:rPr>
          <w:rFonts w:cs="Arial"/>
          <w:szCs w:val="24"/>
        </w:rPr>
      </w:pPr>
      <w:r w:rsidRPr="00191B68">
        <w:rPr>
          <w:rFonts w:cs="Arial"/>
          <w:szCs w:val="24"/>
        </w:rPr>
        <w:t xml:space="preserve">Členové výboru </w:t>
      </w:r>
      <w:r>
        <w:rPr>
          <w:rFonts w:cs="Arial"/>
          <w:szCs w:val="24"/>
        </w:rPr>
        <w:t xml:space="preserve">obdrželi Výroční zprávu o stavu a rozvoji vzdělávací soustavy v Olomouckém kraji za školní rok 2022/2023. </w:t>
      </w:r>
    </w:p>
    <w:p w14:paraId="126D85EE" w14:textId="451BB614" w:rsidR="000368AB" w:rsidRDefault="000368AB" w:rsidP="000368AB">
      <w:pPr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>Výroční zpráva je zpracována v</w:t>
      </w:r>
      <w:r w:rsidRPr="009735BE">
        <w:rPr>
          <w:rFonts w:ascii="Arial" w:hAnsi="Arial" w:cs="Arial"/>
        </w:rPr>
        <w:t xml:space="preserve"> souladu s ustanovením § 10 zákona č. 561/2004 Sb., o předškolním, základním, středním, vyšším odborném a jiném vzdělávání (dále jen „školský zákon“), ve znění pozdějších předpisů</w:t>
      </w:r>
      <w:r>
        <w:rPr>
          <w:rFonts w:ascii="Arial" w:hAnsi="Arial" w:cs="Arial"/>
        </w:rPr>
        <w:t xml:space="preserve">. </w:t>
      </w:r>
      <w:r w:rsidRPr="009735BE">
        <w:rPr>
          <w:rFonts w:ascii="Arial" w:hAnsi="Arial" w:cs="Arial"/>
        </w:rPr>
        <w:t>Dle vyhlášky č. 15/2005 Sb., kterou se stanoví náležitosti dlouhodobých záměrů, výročních zpráv a vlastního hodnocení školy, ve znění pozdějších předpisů, obsahuje hodnocení stavu jednotlivých úrovní a oblastí vzdělávací soustavy, ekonomickou část a hodnocení naplňování dlouhodobého záměru a rozvoje vzdělávací soustavy, jeho cílů a priorit.</w:t>
      </w:r>
    </w:p>
    <w:p w14:paraId="5324F3A8" w14:textId="77777777" w:rsidR="00F437DF" w:rsidRPr="009735BE" w:rsidRDefault="00F437DF" w:rsidP="000368AB">
      <w:pPr>
        <w:ind w:left="499"/>
        <w:jc w:val="both"/>
        <w:rPr>
          <w:rFonts w:ascii="Arial" w:hAnsi="Arial" w:cs="Arial"/>
        </w:rPr>
      </w:pPr>
    </w:p>
    <w:p w14:paraId="0EB7AF51" w14:textId="711EC941" w:rsidR="000368AB" w:rsidRDefault="000368AB" w:rsidP="000368AB">
      <w:pPr>
        <w:pStyle w:val="Zkladntext"/>
        <w:ind w:left="499"/>
        <w:rPr>
          <w:rFonts w:eastAsiaTheme="minorHAnsi" w:cs="Arial"/>
          <w:bCs w:val="0"/>
          <w:szCs w:val="22"/>
        </w:rPr>
      </w:pPr>
      <w:r w:rsidRPr="009735BE">
        <w:rPr>
          <w:rFonts w:eastAsiaTheme="minorHAnsi" w:cs="Arial"/>
          <w:bCs w:val="0"/>
          <w:szCs w:val="22"/>
        </w:rPr>
        <w:t>Výroční zpráva podává informaci o stavu a rozvoji vzdělávací soustavy v Olomouckém kraji za školní rok 202</w:t>
      </w:r>
      <w:r>
        <w:rPr>
          <w:rFonts w:eastAsiaTheme="minorHAnsi" w:cs="Arial"/>
          <w:bCs w:val="0"/>
          <w:szCs w:val="22"/>
        </w:rPr>
        <w:t>2</w:t>
      </w:r>
      <w:r w:rsidRPr="009735BE">
        <w:rPr>
          <w:rFonts w:eastAsiaTheme="minorHAnsi" w:cs="Arial"/>
          <w:bCs w:val="0"/>
          <w:szCs w:val="22"/>
        </w:rPr>
        <w:t>/202</w:t>
      </w:r>
      <w:r>
        <w:rPr>
          <w:rFonts w:eastAsiaTheme="minorHAnsi" w:cs="Arial"/>
          <w:bCs w:val="0"/>
          <w:szCs w:val="22"/>
        </w:rPr>
        <w:t>3</w:t>
      </w:r>
      <w:r w:rsidRPr="009735BE">
        <w:rPr>
          <w:rFonts w:eastAsiaTheme="minorHAnsi" w:cs="Arial"/>
          <w:bCs w:val="0"/>
          <w:szCs w:val="22"/>
        </w:rPr>
        <w:t>, informaci o hospodaření Olomouckého kraje v oblasti škol a školských zařízení za rok 202</w:t>
      </w:r>
      <w:r w:rsidR="00F437DF">
        <w:rPr>
          <w:rFonts w:eastAsiaTheme="minorHAnsi" w:cs="Arial"/>
          <w:bCs w:val="0"/>
          <w:szCs w:val="22"/>
        </w:rPr>
        <w:t>3</w:t>
      </w:r>
      <w:r w:rsidRPr="009735BE">
        <w:rPr>
          <w:rFonts w:eastAsiaTheme="minorHAnsi" w:cs="Arial"/>
          <w:bCs w:val="0"/>
          <w:szCs w:val="22"/>
        </w:rPr>
        <w:t xml:space="preserve"> a informaci o naplňování Dlouhodobého záměru vzdělávání a rozvoje vzdělávací soustavy Olomouckého kraje.</w:t>
      </w:r>
      <w:r>
        <w:rPr>
          <w:rFonts w:eastAsiaTheme="minorHAnsi" w:cs="Arial"/>
          <w:bCs w:val="0"/>
          <w:szCs w:val="22"/>
        </w:rPr>
        <w:t xml:space="preserve"> Jedná se o materiál statistického, nikoliv koncepčního charakteru.</w:t>
      </w:r>
    </w:p>
    <w:p w14:paraId="5CA428C3" w14:textId="5D48909B" w:rsidR="000368AB" w:rsidRPr="009735BE" w:rsidRDefault="000368AB" w:rsidP="000368AB">
      <w:pPr>
        <w:pStyle w:val="Zkladntext"/>
        <w:ind w:left="499"/>
        <w:rPr>
          <w:rFonts w:eastAsiaTheme="minorHAnsi" w:cs="Arial"/>
          <w:bCs w:val="0"/>
          <w:szCs w:val="22"/>
        </w:rPr>
      </w:pPr>
      <w:r>
        <w:rPr>
          <w:rFonts w:eastAsiaTheme="minorHAnsi" w:cs="Arial"/>
          <w:bCs w:val="0"/>
          <w:szCs w:val="22"/>
        </w:rPr>
        <w:t>Po diskuzi výbor doporučil samosprávným orgánům výroční zprávu ke schválení dle Přílohy č. 4 zápisu.</w:t>
      </w:r>
    </w:p>
    <w:p w14:paraId="29F16DA4" w14:textId="77777777" w:rsidR="00F14594" w:rsidRDefault="00F14594" w:rsidP="008651F0">
      <w:pPr>
        <w:rPr>
          <w:rFonts w:ascii="Arial" w:hAnsi="Arial" w:cs="Arial"/>
          <w:b/>
        </w:rPr>
      </w:pPr>
    </w:p>
    <w:p w14:paraId="6F3DACB7" w14:textId="4832706E" w:rsidR="000368AB" w:rsidRDefault="000368AB" w:rsidP="000368AB">
      <w:pPr>
        <w:ind w:left="510" w:hanging="375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ab/>
        <w:t>Různé</w:t>
      </w:r>
    </w:p>
    <w:p w14:paraId="520FF64A" w14:textId="49686161" w:rsidR="007F4302" w:rsidRDefault="007F4302" w:rsidP="000368AB">
      <w:pPr>
        <w:ind w:left="510" w:hanging="375"/>
        <w:rPr>
          <w:rFonts w:ascii="Arial" w:hAnsi="Arial" w:cs="Arial"/>
          <w:b/>
        </w:rPr>
      </w:pPr>
    </w:p>
    <w:p w14:paraId="446CA0AD" w14:textId="5BE7C941" w:rsidR="007F4302" w:rsidRDefault="007F4302" w:rsidP="007F4302">
      <w:pPr>
        <w:ind w:left="510"/>
        <w:jc w:val="both"/>
        <w:rPr>
          <w:rFonts w:ascii="Arial" w:hAnsi="Arial" w:cs="Arial"/>
          <w:bCs/>
        </w:rPr>
      </w:pPr>
      <w:r w:rsidRPr="007F4302">
        <w:rPr>
          <w:rFonts w:ascii="Arial" w:hAnsi="Arial" w:cs="Arial"/>
          <w:bCs/>
        </w:rPr>
        <w:t xml:space="preserve">a) </w:t>
      </w:r>
      <w:r>
        <w:rPr>
          <w:rFonts w:ascii="Arial" w:hAnsi="Arial" w:cs="Arial"/>
          <w:bCs/>
        </w:rPr>
        <w:t>Odpovědný radní pro oblast školství RNDr. Jakubec, Ph.D. seznámil přítomné se stavem rozpracovanosti Dlouhodobého záměru vzdělávání a rozvoje vzdělávací soustavy ČR, zejména o posílení segmentu všeobecného vzdělávání.</w:t>
      </w:r>
    </w:p>
    <w:p w14:paraId="66209ABA" w14:textId="77777777" w:rsidR="007F4302" w:rsidRDefault="007F4302" w:rsidP="007F4302">
      <w:pPr>
        <w:ind w:left="510"/>
        <w:jc w:val="both"/>
        <w:rPr>
          <w:rFonts w:ascii="Arial" w:hAnsi="Arial" w:cs="Arial"/>
          <w:bCs/>
        </w:rPr>
      </w:pPr>
    </w:p>
    <w:p w14:paraId="2F39AD32" w14:textId="352B6E1F" w:rsidR="007F4302" w:rsidRDefault="007F4302" w:rsidP="007F4302">
      <w:pPr>
        <w:ind w:left="5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 RNDr. Jakubec, Ph.D. informoval o zařazení nového kritéria do pravidel hodnocení práce ředitelů škol a školských zařízení zřizovaných Olomouckým krajem, a to kritéria „klima školy“.</w:t>
      </w:r>
    </w:p>
    <w:p w14:paraId="5E2C6B5C" w14:textId="691F88ED" w:rsidR="007F4302" w:rsidRDefault="007F4302" w:rsidP="007F4302">
      <w:pPr>
        <w:ind w:left="510"/>
        <w:jc w:val="both"/>
        <w:rPr>
          <w:rFonts w:ascii="Arial" w:hAnsi="Arial" w:cs="Arial"/>
          <w:bCs/>
        </w:rPr>
      </w:pPr>
    </w:p>
    <w:p w14:paraId="79D4EA80" w14:textId="7CDA8270" w:rsidR="007F4302" w:rsidRDefault="00D11445" w:rsidP="007F4302">
      <w:pPr>
        <w:ind w:left="5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c) RNDr. Jakubec, Ph.D. ocenil spolupráci s Policií ČR zejména v oblasti prevence sociálně patologických jevů a zabezpečení škol.</w:t>
      </w:r>
    </w:p>
    <w:p w14:paraId="65CB0955" w14:textId="3931EB74" w:rsidR="00D11445" w:rsidRDefault="00D11445" w:rsidP="007F4302">
      <w:pPr>
        <w:ind w:left="510"/>
        <w:jc w:val="both"/>
        <w:rPr>
          <w:rFonts w:ascii="Arial" w:hAnsi="Arial" w:cs="Arial"/>
          <w:bCs/>
        </w:rPr>
      </w:pPr>
    </w:p>
    <w:p w14:paraId="4B22985B" w14:textId="093BC563" w:rsidR="00D11445" w:rsidRDefault="00D11445" w:rsidP="007F4302">
      <w:pPr>
        <w:ind w:left="510"/>
        <w:jc w:val="both"/>
        <w:rPr>
          <w:rFonts w:ascii="Arial" w:hAnsi="Arial" w:cs="Arial"/>
          <w:bCs/>
        </w:rPr>
      </w:pPr>
    </w:p>
    <w:p w14:paraId="551010C6" w14:textId="77777777" w:rsidR="00D11445" w:rsidRPr="007F4302" w:rsidRDefault="00D11445" w:rsidP="007F4302">
      <w:pPr>
        <w:ind w:left="510"/>
        <w:jc w:val="both"/>
        <w:rPr>
          <w:rFonts w:ascii="Arial" w:hAnsi="Arial" w:cs="Arial"/>
          <w:bCs/>
        </w:rPr>
      </w:pPr>
    </w:p>
    <w:p w14:paraId="2E07F6C2" w14:textId="77777777" w:rsidR="00F14594" w:rsidRPr="008651F0" w:rsidRDefault="00F14594" w:rsidP="008651F0">
      <w:pPr>
        <w:rPr>
          <w:rFonts w:ascii="Arial" w:hAnsi="Arial" w:cs="Arial"/>
          <w:b/>
        </w:rPr>
      </w:pPr>
    </w:p>
    <w:p w14:paraId="02924393" w14:textId="0DA4E9D9" w:rsidR="002D2013" w:rsidRPr="00A932C2" w:rsidRDefault="002D2013" w:rsidP="00A932C2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b/>
          <w:szCs w:val="24"/>
        </w:rPr>
        <w:lastRenderedPageBreak/>
        <w:t xml:space="preserve">Další zasedání výboru: </w:t>
      </w:r>
      <w:r w:rsidR="00AC3AA1">
        <w:rPr>
          <w:rFonts w:cs="Arial"/>
          <w:b/>
          <w:szCs w:val="24"/>
        </w:rPr>
        <w:t>13. 3. 2024</w:t>
      </w:r>
    </w:p>
    <w:p w14:paraId="403722BD" w14:textId="77777777" w:rsidR="00E20C49" w:rsidRDefault="002D2013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  <w:r w:rsidRPr="00191B68">
        <w:rPr>
          <w:rFonts w:cs="Arial"/>
          <w:szCs w:val="24"/>
        </w:rPr>
        <w:t>Předsedkyně výboru poděkovala všem za účast a zasedání ukončila.</w:t>
      </w:r>
    </w:p>
    <w:p w14:paraId="1E3C7951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1106DBF0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4F3052EA" w14:textId="355C83A0" w:rsidR="00453BD2" w:rsidRDefault="00975D37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  <w:r w:rsidRPr="00E20C49">
        <w:rPr>
          <w:rFonts w:cs="Arial"/>
          <w:szCs w:val="24"/>
        </w:rPr>
        <w:t xml:space="preserve">V Olomouci dne </w:t>
      </w:r>
      <w:r w:rsidR="00AC3AA1">
        <w:rPr>
          <w:rFonts w:cs="Arial"/>
          <w:szCs w:val="24"/>
        </w:rPr>
        <w:t>12</w:t>
      </w:r>
      <w:r w:rsidR="002D2013" w:rsidRPr="00E20C49">
        <w:rPr>
          <w:rFonts w:cs="Arial"/>
          <w:szCs w:val="24"/>
        </w:rPr>
        <w:t xml:space="preserve">. </w:t>
      </w:r>
      <w:r w:rsidR="00AC3AA1">
        <w:rPr>
          <w:rFonts w:cs="Arial"/>
          <w:szCs w:val="24"/>
        </w:rPr>
        <w:t>2</w:t>
      </w:r>
      <w:r w:rsidR="002D2013" w:rsidRPr="00E20C49">
        <w:rPr>
          <w:rFonts w:cs="Arial"/>
          <w:szCs w:val="24"/>
        </w:rPr>
        <w:t>. 202</w:t>
      </w:r>
      <w:r w:rsidR="00AC3AA1">
        <w:rPr>
          <w:rFonts w:cs="Arial"/>
          <w:szCs w:val="24"/>
        </w:rPr>
        <w:t>4</w:t>
      </w:r>
    </w:p>
    <w:p w14:paraId="0BE9B4DA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1FCBBA82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65BEC040" w14:textId="77777777" w:rsidR="00A932C2" w:rsidRPr="00E20C49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61E24BD6" w14:textId="77777777"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……………………………….</w:t>
      </w:r>
    </w:p>
    <w:p w14:paraId="418442DC" w14:textId="77777777" w:rsidR="00975D37" w:rsidRPr="00570AA0" w:rsidRDefault="002D2013" w:rsidP="00827229">
      <w:pPr>
        <w:pStyle w:val="Podpis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Marta Husičková</w:t>
      </w:r>
      <w:r w:rsidR="00827229">
        <w:rPr>
          <w:rFonts w:cs="Arial"/>
          <w:sz w:val="22"/>
          <w:szCs w:val="22"/>
        </w:rPr>
        <w:t xml:space="preserve">, </w:t>
      </w:r>
      <w:r w:rsidR="00975D37" w:rsidRPr="00570AA0">
        <w:rPr>
          <w:rFonts w:cs="Arial"/>
          <w:sz w:val="22"/>
          <w:szCs w:val="22"/>
        </w:rPr>
        <w:t>předseda výboru</w:t>
      </w:r>
    </w:p>
    <w:sectPr w:rsidR="00975D37" w:rsidRPr="00570AA0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81CA" w14:textId="77777777" w:rsidR="00A13A99" w:rsidRDefault="00A13A99">
      <w:r>
        <w:separator/>
      </w:r>
    </w:p>
  </w:endnote>
  <w:endnote w:type="continuationSeparator" w:id="0">
    <w:p w14:paraId="668BCB5A" w14:textId="77777777" w:rsidR="00A13A99" w:rsidRDefault="00A1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002845"/>
      <w:docPartObj>
        <w:docPartGallery w:val="Page Numbers (Bottom of Page)"/>
        <w:docPartUnique/>
      </w:docPartObj>
    </w:sdtPr>
    <w:sdtEndPr/>
    <w:sdtContent>
      <w:p w14:paraId="0CBB7C0E" w14:textId="77777777" w:rsidR="00910E7D" w:rsidRDefault="00910E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62F">
          <w:rPr>
            <w:noProof/>
          </w:rPr>
          <w:t>3</w:t>
        </w:r>
        <w:r>
          <w:fldChar w:fldCharType="end"/>
        </w:r>
      </w:p>
    </w:sdtContent>
  </w:sdt>
  <w:p w14:paraId="0F92CEC0" w14:textId="77777777" w:rsidR="00910E7D" w:rsidRPr="00910E7D" w:rsidRDefault="00910E7D" w:rsidP="00910E7D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FA35" w14:textId="77777777" w:rsidR="00A13A99" w:rsidRDefault="00A13A99">
      <w:r>
        <w:separator/>
      </w:r>
    </w:p>
  </w:footnote>
  <w:footnote w:type="continuationSeparator" w:id="0">
    <w:p w14:paraId="7BAF7AA1" w14:textId="77777777" w:rsidR="00A13A99" w:rsidRDefault="00A1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73892"/>
    <w:multiLevelType w:val="hybridMultilevel"/>
    <w:tmpl w:val="77DA6B20"/>
    <w:lvl w:ilvl="0" w:tplc="B87864B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A3CC1"/>
    <w:multiLevelType w:val="multilevel"/>
    <w:tmpl w:val="FDAE8B4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F32FE"/>
    <w:multiLevelType w:val="hybridMultilevel"/>
    <w:tmpl w:val="6E146C58"/>
    <w:lvl w:ilvl="0" w:tplc="F7A884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B2FDE"/>
    <w:multiLevelType w:val="hybridMultilevel"/>
    <w:tmpl w:val="3126D21E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461C7"/>
    <w:multiLevelType w:val="hybridMultilevel"/>
    <w:tmpl w:val="9DFC5836"/>
    <w:lvl w:ilvl="0" w:tplc="04050017">
      <w:start w:val="1"/>
      <w:numFmt w:val="lowerLetter"/>
      <w:lvlText w:val="%1)"/>
      <w:lvlJc w:val="left"/>
      <w:pPr>
        <w:ind w:left="2846" w:hanging="360"/>
      </w:p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4" w15:restartNumberingAfterBreak="0">
    <w:nsid w:val="41CC6DFC"/>
    <w:multiLevelType w:val="multilevel"/>
    <w:tmpl w:val="30744DA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61FDF"/>
    <w:multiLevelType w:val="hybridMultilevel"/>
    <w:tmpl w:val="CE845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2E52"/>
    <w:multiLevelType w:val="hybridMultilevel"/>
    <w:tmpl w:val="65667B46"/>
    <w:lvl w:ilvl="0" w:tplc="91F601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5A716057"/>
    <w:multiLevelType w:val="hybridMultilevel"/>
    <w:tmpl w:val="BE30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122C"/>
    <w:multiLevelType w:val="hybridMultilevel"/>
    <w:tmpl w:val="8536DF1C"/>
    <w:lvl w:ilvl="0" w:tplc="279E563A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F1159"/>
    <w:multiLevelType w:val="multilevel"/>
    <w:tmpl w:val="DDF0F8F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F07B1"/>
    <w:multiLevelType w:val="hybridMultilevel"/>
    <w:tmpl w:val="C346E5D0"/>
    <w:lvl w:ilvl="0" w:tplc="D84C7C80">
      <w:start w:val="1"/>
      <w:numFmt w:val="lowerLetter"/>
      <w:lvlText w:val="%1)"/>
      <w:lvlJc w:val="left"/>
      <w:pPr>
        <w:ind w:left="1429" w:hanging="360"/>
      </w:pPr>
      <w:rPr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9"/>
  </w:num>
  <w:num w:numId="4">
    <w:abstractNumId w:val="18"/>
  </w:num>
  <w:num w:numId="5">
    <w:abstractNumId w:val="11"/>
  </w:num>
  <w:num w:numId="6">
    <w:abstractNumId w:val="35"/>
  </w:num>
  <w:num w:numId="7">
    <w:abstractNumId w:val="5"/>
  </w:num>
  <w:num w:numId="8">
    <w:abstractNumId w:val="17"/>
  </w:num>
  <w:num w:numId="9">
    <w:abstractNumId w:val="32"/>
  </w:num>
  <w:num w:numId="10">
    <w:abstractNumId w:val="2"/>
  </w:num>
  <w:num w:numId="11">
    <w:abstractNumId w:val="34"/>
  </w:num>
  <w:num w:numId="12">
    <w:abstractNumId w:val="37"/>
  </w:num>
  <w:num w:numId="13">
    <w:abstractNumId w:val="33"/>
  </w:num>
  <w:num w:numId="14">
    <w:abstractNumId w:val="36"/>
  </w:num>
  <w:num w:numId="15">
    <w:abstractNumId w:val="8"/>
  </w:num>
  <w:num w:numId="16">
    <w:abstractNumId w:val="19"/>
  </w:num>
  <w:num w:numId="17">
    <w:abstractNumId w:val="26"/>
  </w:num>
  <w:num w:numId="18">
    <w:abstractNumId w:val="24"/>
  </w:num>
  <w:num w:numId="19">
    <w:abstractNumId w:val="16"/>
  </w:num>
  <w:num w:numId="20">
    <w:abstractNumId w:val="4"/>
  </w:num>
  <w:num w:numId="21">
    <w:abstractNumId w:val="31"/>
  </w:num>
  <w:num w:numId="22">
    <w:abstractNumId w:val="0"/>
  </w:num>
  <w:num w:numId="23">
    <w:abstractNumId w:val="6"/>
  </w:num>
  <w:num w:numId="24">
    <w:abstractNumId w:val="22"/>
  </w:num>
  <w:num w:numId="25">
    <w:abstractNumId w:val="12"/>
  </w:num>
  <w:num w:numId="26">
    <w:abstractNumId w:val="1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7"/>
  </w:num>
  <w:num w:numId="30">
    <w:abstractNumId w:val="14"/>
  </w:num>
  <w:num w:numId="3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0"/>
  </w:num>
  <w:num w:numId="35">
    <w:abstractNumId w:val="30"/>
  </w:num>
  <w:num w:numId="36">
    <w:abstractNumId w:val="9"/>
  </w:num>
  <w:num w:numId="37">
    <w:abstractNumId w:val="21"/>
  </w:num>
  <w:num w:numId="38">
    <w:abstractNumId w:val="25"/>
  </w:num>
  <w:num w:numId="39">
    <w:abstractNumId w:val="10"/>
  </w:num>
  <w:num w:numId="40">
    <w:abstractNumId w:val="27"/>
  </w:num>
  <w:num w:numId="41">
    <w:abstractNumId w:val="13"/>
  </w:num>
  <w:num w:numId="4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7"/>
    <w:rsid w:val="000049C2"/>
    <w:rsid w:val="00007532"/>
    <w:rsid w:val="00036875"/>
    <w:rsid w:val="000368AB"/>
    <w:rsid w:val="000904CA"/>
    <w:rsid w:val="00094524"/>
    <w:rsid w:val="00123614"/>
    <w:rsid w:val="00161D08"/>
    <w:rsid w:val="00166D93"/>
    <w:rsid w:val="00183778"/>
    <w:rsid w:val="00192D0C"/>
    <w:rsid w:val="001A40E9"/>
    <w:rsid w:val="001C334D"/>
    <w:rsid w:val="001F6C25"/>
    <w:rsid w:val="00230572"/>
    <w:rsid w:val="00236ABC"/>
    <w:rsid w:val="00271F0B"/>
    <w:rsid w:val="002D2013"/>
    <w:rsid w:val="003012C5"/>
    <w:rsid w:val="00383E57"/>
    <w:rsid w:val="00390DC3"/>
    <w:rsid w:val="003A2558"/>
    <w:rsid w:val="003B51C1"/>
    <w:rsid w:val="003D34A9"/>
    <w:rsid w:val="00400B9E"/>
    <w:rsid w:val="00437DB6"/>
    <w:rsid w:val="00453BD2"/>
    <w:rsid w:val="00455F32"/>
    <w:rsid w:val="00457712"/>
    <w:rsid w:val="0046579E"/>
    <w:rsid w:val="004A66D7"/>
    <w:rsid w:val="004C7329"/>
    <w:rsid w:val="004E1377"/>
    <w:rsid w:val="00523CFF"/>
    <w:rsid w:val="00526B0B"/>
    <w:rsid w:val="00545BE0"/>
    <w:rsid w:val="00567F77"/>
    <w:rsid w:val="00570AA0"/>
    <w:rsid w:val="005D522D"/>
    <w:rsid w:val="005D706C"/>
    <w:rsid w:val="005E2644"/>
    <w:rsid w:val="00602FBA"/>
    <w:rsid w:val="00623A73"/>
    <w:rsid w:val="00632BD8"/>
    <w:rsid w:val="006349EE"/>
    <w:rsid w:val="00652F1D"/>
    <w:rsid w:val="006D145A"/>
    <w:rsid w:val="006F5962"/>
    <w:rsid w:val="00704D72"/>
    <w:rsid w:val="007123B2"/>
    <w:rsid w:val="0071262F"/>
    <w:rsid w:val="007323D1"/>
    <w:rsid w:val="00754A96"/>
    <w:rsid w:val="00797CF1"/>
    <w:rsid w:val="007B2D8B"/>
    <w:rsid w:val="007E0900"/>
    <w:rsid w:val="007F4302"/>
    <w:rsid w:val="00827229"/>
    <w:rsid w:val="00844280"/>
    <w:rsid w:val="008651F0"/>
    <w:rsid w:val="00871240"/>
    <w:rsid w:val="008816B4"/>
    <w:rsid w:val="008826D6"/>
    <w:rsid w:val="00882ED9"/>
    <w:rsid w:val="00896F63"/>
    <w:rsid w:val="008A0862"/>
    <w:rsid w:val="008E3468"/>
    <w:rsid w:val="008E462A"/>
    <w:rsid w:val="00910E7D"/>
    <w:rsid w:val="009376CD"/>
    <w:rsid w:val="00945F77"/>
    <w:rsid w:val="009735BE"/>
    <w:rsid w:val="00975D37"/>
    <w:rsid w:val="009C279C"/>
    <w:rsid w:val="009F4B0F"/>
    <w:rsid w:val="00A13A99"/>
    <w:rsid w:val="00A377B9"/>
    <w:rsid w:val="00A71492"/>
    <w:rsid w:val="00A86C26"/>
    <w:rsid w:val="00A932C2"/>
    <w:rsid w:val="00AC3AA1"/>
    <w:rsid w:val="00AC58AB"/>
    <w:rsid w:val="00B0342A"/>
    <w:rsid w:val="00B24373"/>
    <w:rsid w:val="00B37F0F"/>
    <w:rsid w:val="00BD3C8D"/>
    <w:rsid w:val="00C06141"/>
    <w:rsid w:val="00C22402"/>
    <w:rsid w:val="00C52DF4"/>
    <w:rsid w:val="00C84407"/>
    <w:rsid w:val="00C931E8"/>
    <w:rsid w:val="00CB0157"/>
    <w:rsid w:val="00CD7166"/>
    <w:rsid w:val="00D11445"/>
    <w:rsid w:val="00D20AA7"/>
    <w:rsid w:val="00D419D5"/>
    <w:rsid w:val="00D454B0"/>
    <w:rsid w:val="00D53AF5"/>
    <w:rsid w:val="00D54AF2"/>
    <w:rsid w:val="00E13EB4"/>
    <w:rsid w:val="00E20C49"/>
    <w:rsid w:val="00E32D79"/>
    <w:rsid w:val="00E857F0"/>
    <w:rsid w:val="00EB34A5"/>
    <w:rsid w:val="00EC7EBF"/>
    <w:rsid w:val="00ED3556"/>
    <w:rsid w:val="00EF04F0"/>
    <w:rsid w:val="00F137D0"/>
    <w:rsid w:val="00F14594"/>
    <w:rsid w:val="00F20640"/>
    <w:rsid w:val="00F21D19"/>
    <w:rsid w:val="00F23521"/>
    <w:rsid w:val="00F32C4D"/>
    <w:rsid w:val="00F40DB2"/>
    <w:rsid w:val="00F437DF"/>
    <w:rsid w:val="00FD67F2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20AD6FF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Odstavecseseznamem">
    <w:name w:val="List Paragraph"/>
    <w:basedOn w:val="Normln"/>
    <w:link w:val="OdstavecseseznamemChar"/>
    <w:uiPriority w:val="34"/>
    <w:qFormat/>
    <w:rsid w:val="002D201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nak2odsazen1textChar">
    <w:name w:val="Znak2 odsazený1 text Char"/>
    <w:link w:val="Znak2odsazen1text"/>
    <w:rsid w:val="002D2013"/>
    <w:rPr>
      <w:rFonts w:ascii="Arial" w:hAnsi="Arial"/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rsid w:val="002D2013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"/>
    <w:rsid w:val="000904C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0904CA"/>
  </w:style>
  <w:style w:type="character" w:customStyle="1" w:styleId="eop">
    <w:name w:val="eop"/>
    <w:basedOn w:val="Standardnpsmoodstavce"/>
    <w:rsid w:val="000904CA"/>
  </w:style>
  <w:style w:type="character" w:customStyle="1" w:styleId="ZpatChar">
    <w:name w:val="Zápatí Char"/>
    <w:basedOn w:val="Standardnpsmoodstavce"/>
    <w:link w:val="Zpat"/>
    <w:uiPriority w:val="99"/>
    <w:rsid w:val="00910E7D"/>
    <w:rPr>
      <w:sz w:val="24"/>
      <w:szCs w:val="24"/>
    </w:rPr>
  </w:style>
  <w:style w:type="paragraph" w:styleId="Textbubliny">
    <w:name w:val="Balloon Text"/>
    <w:basedOn w:val="Normln"/>
    <w:link w:val="TextbublinyChar"/>
    <w:rsid w:val="00910E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10E7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3687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0368AB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52E8-EACF-4405-9A99-C62C6600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1932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Skopalová Danuše</cp:lastModifiedBy>
  <cp:revision>11</cp:revision>
  <cp:lastPrinted>2023-11-13T07:01:00Z</cp:lastPrinted>
  <dcterms:created xsi:type="dcterms:W3CDTF">2024-02-12T06:01:00Z</dcterms:created>
  <dcterms:modified xsi:type="dcterms:W3CDTF">2024-02-12T12:08:00Z</dcterms:modified>
</cp:coreProperties>
</file>