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A9" w:rsidRPr="007F3D2B" w:rsidRDefault="008D64A9" w:rsidP="007F3D2B">
      <w:pPr>
        <w:spacing w:before="120" w:line="276" w:lineRule="auto"/>
        <w:jc w:val="right"/>
        <w:rPr>
          <w:rFonts w:ascii="Arial" w:hAnsi="Arial" w:cs="Arial"/>
          <w:sz w:val="20"/>
          <w:szCs w:val="20"/>
        </w:rPr>
      </w:pPr>
      <w:bookmarkStart w:id="0" w:name="_GoBack"/>
      <w:bookmarkEnd w:id="0"/>
      <w:r w:rsidRPr="007F3D2B">
        <w:rPr>
          <w:rFonts w:ascii="Arial" w:hAnsi="Arial" w:cs="Arial"/>
          <w:sz w:val="20"/>
          <w:szCs w:val="20"/>
        </w:rPr>
        <w:t>Příloha č. 1 k věcnému záměru zákona o veřejných zakázkách</w:t>
      </w:r>
    </w:p>
    <w:p w:rsidR="00E94D00" w:rsidRPr="007F3D2B" w:rsidRDefault="00E94D00" w:rsidP="007F3D2B">
      <w:pPr>
        <w:spacing w:before="120" w:line="276" w:lineRule="auto"/>
        <w:jc w:val="both"/>
        <w:rPr>
          <w:rFonts w:ascii="Arial" w:hAnsi="Arial" w:cs="Arial"/>
          <w:b/>
          <w:sz w:val="20"/>
          <w:szCs w:val="20"/>
        </w:rPr>
      </w:pPr>
    </w:p>
    <w:p w:rsidR="00D12A08" w:rsidRPr="00E63F98" w:rsidRDefault="008D42E8" w:rsidP="007F3D2B">
      <w:pPr>
        <w:spacing w:before="120" w:line="276" w:lineRule="auto"/>
        <w:jc w:val="both"/>
        <w:rPr>
          <w:rFonts w:ascii="Arial" w:hAnsi="Arial" w:cs="Arial"/>
          <w:b/>
        </w:rPr>
      </w:pPr>
      <w:r w:rsidRPr="00E63F98">
        <w:rPr>
          <w:rFonts w:ascii="Arial" w:hAnsi="Arial" w:cs="Arial"/>
          <w:b/>
        </w:rPr>
        <w:t>Závěrečná zpráva z hodnocení dopadů regulace</w:t>
      </w:r>
    </w:p>
    <w:p w:rsidR="008C463E" w:rsidRPr="007F3D2B" w:rsidRDefault="008C463E" w:rsidP="007F3D2B">
      <w:pPr>
        <w:spacing w:before="120" w:line="276" w:lineRule="auto"/>
        <w:jc w:val="both"/>
        <w:rPr>
          <w:rFonts w:ascii="Arial" w:hAnsi="Arial" w:cs="Arial"/>
          <w:b/>
          <w:sz w:val="20"/>
          <w:szCs w:val="20"/>
        </w:rPr>
      </w:pPr>
    </w:p>
    <w:p w:rsidR="008C463E" w:rsidRPr="007F3D2B" w:rsidRDefault="008C463E" w:rsidP="007F3D2B">
      <w:pPr>
        <w:pStyle w:val="Odstavecseseznamem"/>
        <w:numPr>
          <w:ilvl w:val="0"/>
          <w:numId w:val="11"/>
        </w:numPr>
        <w:spacing w:before="120" w:line="276" w:lineRule="auto"/>
        <w:rPr>
          <w:rFonts w:ascii="Arial" w:hAnsi="Arial" w:cs="Arial"/>
          <w:b/>
          <w:sz w:val="20"/>
        </w:rPr>
      </w:pPr>
      <w:r w:rsidRPr="007F3D2B">
        <w:rPr>
          <w:rFonts w:ascii="Arial" w:hAnsi="Arial" w:cs="Arial"/>
          <w:b/>
          <w:sz w:val="20"/>
        </w:rPr>
        <w:t>Důvod předložení</w:t>
      </w:r>
      <w:r w:rsidR="00F3636C" w:rsidRPr="007F3D2B">
        <w:rPr>
          <w:rFonts w:ascii="Arial" w:hAnsi="Arial" w:cs="Arial"/>
          <w:b/>
          <w:sz w:val="20"/>
        </w:rPr>
        <w:t xml:space="preserve"> a</w:t>
      </w:r>
      <w:r w:rsidRPr="007F3D2B">
        <w:rPr>
          <w:rFonts w:ascii="Arial" w:hAnsi="Arial" w:cs="Arial"/>
          <w:b/>
          <w:sz w:val="20"/>
        </w:rPr>
        <w:t xml:space="preserve"> cíle</w:t>
      </w:r>
    </w:p>
    <w:p w:rsidR="008C463E" w:rsidRPr="007F3D2B" w:rsidRDefault="008C463E" w:rsidP="007F3D2B">
      <w:pPr>
        <w:spacing w:before="120" w:line="276" w:lineRule="auto"/>
        <w:jc w:val="both"/>
        <w:rPr>
          <w:rFonts w:ascii="Arial" w:hAnsi="Arial" w:cs="Arial"/>
          <w:b/>
          <w:sz w:val="20"/>
          <w:szCs w:val="20"/>
        </w:rPr>
      </w:pPr>
    </w:p>
    <w:p w:rsidR="008D42E8" w:rsidRPr="007F3D2B" w:rsidRDefault="008D42E8" w:rsidP="007F3D2B">
      <w:pPr>
        <w:pStyle w:val="Zkladntext"/>
        <w:numPr>
          <w:ilvl w:val="1"/>
          <w:numId w:val="11"/>
        </w:numPr>
        <w:spacing w:before="120" w:after="0" w:line="276" w:lineRule="auto"/>
        <w:jc w:val="both"/>
        <w:rPr>
          <w:rFonts w:ascii="Arial" w:hAnsi="Arial" w:cs="Arial"/>
          <w:b/>
          <w:sz w:val="20"/>
          <w:szCs w:val="20"/>
        </w:rPr>
      </w:pPr>
      <w:r w:rsidRPr="007F3D2B">
        <w:rPr>
          <w:rFonts w:ascii="Arial" w:hAnsi="Arial" w:cs="Arial"/>
          <w:b/>
          <w:sz w:val="20"/>
          <w:szCs w:val="20"/>
        </w:rPr>
        <w:t>Název</w:t>
      </w:r>
    </w:p>
    <w:p w:rsidR="008D42E8" w:rsidRPr="007F3D2B" w:rsidRDefault="008D42E8" w:rsidP="007F3D2B">
      <w:pPr>
        <w:spacing w:before="120" w:line="276" w:lineRule="auto"/>
        <w:jc w:val="both"/>
        <w:rPr>
          <w:rFonts w:ascii="Arial" w:hAnsi="Arial" w:cs="Arial"/>
          <w:sz w:val="20"/>
          <w:szCs w:val="20"/>
        </w:rPr>
      </w:pPr>
      <w:r w:rsidRPr="007F3D2B">
        <w:rPr>
          <w:rFonts w:ascii="Arial" w:hAnsi="Arial" w:cs="Arial"/>
          <w:sz w:val="20"/>
          <w:szCs w:val="20"/>
        </w:rPr>
        <w:t>Věcný záměr zákona o veřejných zakázkách</w:t>
      </w:r>
    </w:p>
    <w:p w:rsidR="008D42E8" w:rsidRPr="007F3D2B" w:rsidRDefault="008D42E8" w:rsidP="007F3D2B">
      <w:pPr>
        <w:pStyle w:val="Zkladntext"/>
        <w:spacing w:before="120" w:after="0" w:line="276" w:lineRule="auto"/>
        <w:jc w:val="both"/>
        <w:rPr>
          <w:rFonts w:ascii="Arial" w:hAnsi="Arial" w:cs="Arial"/>
          <w:b/>
          <w:sz w:val="20"/>
          <w:szCs w:val="20"/>
        </w:rPr>
      </w:pPr>
    </w:p>
    <w:p w:rsidR="008C463E" w:rsidRPr="007F3D2B" w:rsidRDefault="008C463E" w:rsidP="007F3D2B">
      <w:pPr>
        <w:pStyle w:val="Zkladntext"/>
        <w:spacing w:before="120" w:after="0" w:line="276" w:lineRule="auto"/>
        <w:jc w:val="both"/>
        <w:rPr>
          <w:rFonts w:ascii="Arial" w:hAnsi="Arial" w:cs="Arial"/>
          <w:b/>
          <w:sz w:val="20"/>
          <w:szCs w:val="20"/>
        </w:rPr>
      </w:pPr>
      <w:r w:rsidRPr="007F3D2B">
        <w:rPr>
          <w:rFonts w:ascii="Arial" w:hAnsi="Arial" w:cs="Arial"/>
          <w:b/>
          <w:sz w:val="20"/>
          <w:szCs w:val="20"/>
        </w:rPr>
        <w:t>1.</w:t>
      </w:r>
      <w:r w:rsidR="008D42E8" w:rsidRPr="007F3D2B">
        <w:rPr>
          <w:rFonts w:ascii="Arial" w:hAnsi="Arial" w:cs="Arial"/>
          <w:b/>
          <w:sz w:val="20"/>
          <w:szCs w:val="20"/>
        </w:rPr>
        <w:t>2</w:t>
      </w:r>
      <w:r w:rsidRPr="007F3D2B">
        <w:rPr>
          <w:rFonts w:ascii="Arial" w:hAnsi="Arial" w:cs="Arial"/>
          <w:b/>
          <w:sz w:val="20"/>
          <w:szCs w:val="20"/>
        </w:rPr>
        <w:t xml:space="preserve"> Definice problému</w:t>
      </w:r>
    </w:p>
    <w:p w:rsidR="008C463E" w:rsidRPr="007F3D2B" w:rsidRDefault="008C463E" w:rsidP="007F3D2B">
      <w:pPr>
        <w:spacing w:before="120" w:line="276" w:lineRule="auto"/>
        <w:jc w:val="both"/>
        <w:rPr>
          <w:rFonts w:ascii="Arial" w:hAnsi="Arial" w:cs="Arial"/>
          <w:b/>
          <w:sz w:val="20"/>
          <w:szCs w:val="20"/>
        </w:rPr>
      </w:pPr>
    </w:p>
    <w:p w:rsidR="007C1A8B" w:rsidRPr="007F3D2B" w:rsidRDefault="007C1A8B" w:rsidP="007F3D2B">
      <w:pPr>
        <w:spacing w:before="120" w:line="276" w:lineRule="auto"/>
        <w:jc w:val="both"/>
        <w:rPr>
          <w:rFonts w:ascii="Arial" w:hAnsi="Arial" w:cs="Arial"/>
          <w:sz w:val="20"/>
          <w:szCs w:val="20"/>
        </w:rPr>
      </w:pPr>
      <w:r w:rsidRPr="007F3D2B">
        <w:rPr>
          <w:rFonts w:ascii="Arial" w:hAnsi="Arial" w:cs="Arial"/>
          <w:sz w:val="20"/>
          <w:szCs w:val="20"/>
        </w:rPr>
        <w:t xml:space="preserve">V souvislosti s přijetím tří evropských směrnic regulujících oblast veřejného zadávání (Směrnice o zadávání veřejných zakázek 2014/24/EU, Směrnice o zadávání veřejných zakázek subjekty působícími v odvětví vodního hospodářství, energetiky, dopravy a poštovních služeb 2014/25/EU a Směrnice o udělování koncesí 2014/23/EU) bude nezbytné jejich obsah během následujících dvou let transponovat do vnitrostátního právního řádu. </w:t>
      </w:r>
    </w:p>
    <w:p w:rsidR="007C1A8B" w:rsidRPr="007F3D2B" w:rsidRDefault="007C1A8B" w:rsidP="007F3D2B">
      <w:pPr>
        <w:pStyle w:val="Normlnweb"/>
        <w:spacing w:before="120" w:beforeAutospacing="0" w:after="0" w:afterAutospacing="0" w:line="276" w:lineRule="auto"/>
        <w:jc w:val="both"/>
        <w:rPr>
          <w:rStyle w:val="apple-converted-space"/>
          <w:rFonts w:ascii="Arial" w:hAnsi="Arial" w:cs="Arial"/>
          <w:sz w:val="20"/>
          <w:szCs w:val="20"/>
        </w:rPr>
      </w:pPr>
      <w:r w:rsidRPr="007F3D2B">
        <w:rPr>
          <w:rFonts w:ascii="Arial" w:hAnsi="Arial" w:cs="Arial"/>
          <w:sz w:val="20"/>
          <w:szCs w:val="20"/>
        </w:rPr>
        <w:t>Nové směrnice obsahují množství zásadních změn, jejichž transpozice do vnitrostátního právního řádu si vyžádá vznik zcela nového zákona o veřejných zakázkách</w:t>
      </w:r>
      <w:r w:rsidR="00DF7629" w:rsidRPr="007F3D2B">
        <w:rPr>
          <w:rFonts w:ascii="Arial" w:hAnsi="Arial" w:cs="Arial"/>
          <w:sz w:val="20"/>
          <w:szCs w:val="20"/>
        </w:rPr>
        <w:t xml:space="preserve"> (dále jen „NZVZ“)</w:t>
      </w:r>
      <w:r w:rsidRPr="007F3D2B">
        <w:rPr>
          <w:rFonts w:ascii="Arial" w:hAnsi="Arial" w:cs="Arial"/>
          <w:sz w:val="20"/>
          <w:szCs w:val="20"/>
        </w:rPr>
        <w:t>, neboť zakotvení nových pravidel do stávajícího zákona by si vyžádalo</w:t>
      </w:r>
      <w:r w:rsidRPr="007F3D2B">
        <w:rPr>
          <w:rStyle w:val="apple-converted-space"/>
          <w:rFonts w:ascii="Arial" w:hAnsi="Arial" w:cs="Arial"/>
          <w:sz w:val="20"/>
          <w:szCs w:val="20"/>
        </w:rPr>
        <w:t xml:space="preserve"> zásadní zásahy do textu i systematiky zákona a i za vynaložení maximální snahy o vytvoření kvalitního předpisu by pravděpodobně vedlo k velké nepřehlednosti a nesrozumitelnosti právní úpravy.</w:t>
      </w:r>
    </w:p>
    <w:p w:rsidR="007C1A8B" w:rsidRPr="007F3D2B" w:rsidRDefault="007C1A8B" w:rsidP="007F3D2B">
      <w:pPr>
        <w:pStyle w:val="Normlnweb"/>
        <w:spacing w:before="120" w:beforeAutospacing="0" w:after="0" w:afterAutospacing="0" w:line="276" w:lineRule="auto"/>
        <w:jc w:val="both"/>
        <w:rPr>
          <w:rFonts w:ascii="Arial" w:hAnsi="Arial" w:cs="Arial"/>
          <w:sz w:val="20"/>
          <w:szCs w:val="20"/>
        </w:rPr>
      </w:pPr>
      <w:r w:rsidRPr="007F3D2B">
        <w:rPr>
          <w:rStyle w:val="apple-converted-space"/>
          <w:rFonts w:ascii="Arial" w:hAnsi="Arial" w:cs="Arial"/>
          <w:sz w:val="20"/>
          <w:szCs w:val="20"/>
        </w:rPr>
        <w:t xml:space="preserve">Prostřednictvím zákona </w:t>
      </w:r>
      <w:r w:rsidRPr="007F3D2B">
        <w:rPr>
          <w:rFonts w:ascii="Arial" w:hAnsi="Arial" w:cs="Arial"/>
          <w:sz w:val="20"/>
          <w:szCs w:val="20"/>
        </w:rPr>
        <w:t>č. 137/2006 Sb., o veřejných zakázkách (dále jen „ZVZ“), který je nyní účinný a má být nahrazen novou právní úpravou, jsou však regulovány i oblasti, na které směrnice nedopadají, a jejich úprava je tedy plně v kompetenci členských států. Mezi tyto oblasti patří především regulace procesu zadávání podlimitních veřejných zakázek. Dále pak je členským státům umožněno, nedojde-li k přímému konfliktu s pravidly stanovenými ve směrnicích, stanovit oproti směrnicím přísnější postupy.</w:t>
      </w:r>
      <w:r w:rsidR="00202E55" w:rsidRPr="007F3D2B">
        <w:rPr>
          <w:rFonts w:ascii="Arial" w:hAnsi="Arial" w:cs="Arial"/>
          <w:sz w:val="20"/>
          <w:szCs w:val="20"/>
        </w:rPr>
        <w:t xml:space="preserve"> </w:t>
      </w:r>
    </w:p>
    <w:p w:rsidR="007C1A8B" w:rsidRPr="007F3D2B" w:rsidRDefault="007C1A8B" w:rsidP="007F3D2B">
      <w:pPr>
        <w:pStyle w:val="Normlnweb"/>
        <w:spacing w:before="120" w:beforeAutospacing="0" w:after="0" w:afterAutospacing="0" w:line="276" w:lineRule="auto"/>
        <w:jc w:val="both"/>
        <w:rPr>
          <w:rFonts w:ascii="Arial" w:hAnsi="Arial" w:cs="Arial"/>
          <w:sz w:val="20"/>
          <w:szCs w:val="20"/>
        </w:rPr>
      </w:pPr>
      <w:r w:rsidRPr="007F3D2B">
        <w:rPr>
          <w:rFonts w:ascii="Arial" w:hAnsi="Arial" w:cs="Arial"/>
          <w:sz w:val="20"/>
          <w:szCs w:val="20"/>
        </w:rPr>
        <w:t>Současná právní úprava stanoví přísná a podrobná pravidla pro postup ve zjednodušeném podlimitním řízení, ve kterém je možné zadávat všechny podlimitní veřejné zakázky na dodávky a služby, a podlimitní veřejné zakázky na stavební práce, v</w:t>
      </w:r>
      <w:r w:rsidR="00755547" w:rsidRPr="007F3D2B">
        <w:rPr>
          <w:rFonts w:ascii="Arial" w:hAnsi="Arial" w:cs="Arial"/>
          <w:sz w:val="20"/>
          <w:szCs w:val="20"/>
        </w:rPr>
        <w:t> </w:t>
      </w:r>
      <w:r w:rsidRPr="007F3D2B">
        <w:rPr>
          <w:rFonts w:ascii="Arial" w:hAnsi="Arial" w:cs="Arial"/>
          <w:sz w:val="20"/>
          <w:szCs w:val="20"/>
        </w:rPr>
        <w:t>případě</w:t>
      </w:r>
      <w:r w:rsidR="00755547" w:rsidRPr="007F3D2B">
        <w:rPr>
          <w:rFonts w:ascii="Arial" w:hAnsi="Arial" w:cs="Arial"/>
          <w:sz w:val="20"/>
          <w:szCs w:val="20"/>
        </w:rPr>
        <w:t>,</w:t>
      </w:r>
      <w:r w:rsidRPr="007F3D2B">
        <w:rPr>
          <w:rFonts w:ascii="Arial" w:hAnsi="Arial" w:cs="Arial"/>
          <w:sz w:val="20"/>
          <w:szCs w:val="20"/>
        </w:rPr>
        <w:t xml:space="preserve"> že jejich předpokládaná hodnota nedosahuje limitu 10 mil. Kč bez DPH. V tomto druhu řízení bylo v loňském roce, dle údajů vyplývajících z </w:t>
      </w:r>
      <w:r w:rsidR="00CD2895" w:rsidRPr="007F3D2B">
        <w:rPr>
          <w:rFonts w:ascii="Arial" w:hAnsi="Arial" w:cs="Arial"/>
          <w:sz w:val="20"/>
          <w:szCs w:val="20"/>
        </w:rPr>
        <w:t>V</w:t>
      </w:r>
      <w:r w:rsidRPr="007F3D2B">
        <w:rPr>
          <w:rFonts w:ascii="Arial" w:hAnsi="Arial" w:cs="Arial"/>
          <w:sz w:val="20"/>
          <w:szCs w:val="20"/>
        </w:rPr>
        <w:t>ěstníku veřejných zakázek, zadáváno přes 40</w:t>
      </w:r>
      <w:r w:rsidR="00CD2895" w:rsidRPr="007F3D2B">
        <w:rPr>
          <w:rFonts w:ascii="Arial" w:hAnsi="Arial" w:cs="Arial"/>
          <w:sz w:val="20"/>
          <w:szCs w:val="20"/>
        </w:rPr>
        <w:t xml:space="preserve"> </w:t>
      </w:r>
      <w:r w:rsidRPr="007F3D2B">
        <w:rPr>
          <w:rFonts w:ascii="Arial" w:hAnsi="Arial" w:cs="Arial"/>
          <w:sz w:val="20"/>
          <w:szCs w:val="20"/>
        </w:rPr>
        <w:t>% z celkového počtu veřejných zakázek, jejichž hodnota představovala téměř 8</w:t>
      </w:r>
      <w:r w:rsidR="00CD2895" w:rsidRPr="007F3D2B">
        <w:rPr>
          <w:rFonts w:ascii="Arial" w:hAnsi="Arial" w:cs="Arial"/>
          <w:sz w:val="20"/>
          <w:szCs w:val="20"/>
        </w:rPr>
        <w:t xml:space="preserve"> </w:t>
      </w:r>
      <w:r w:rsidRPr="007F3D2B">
        <w:rPr>
          <w:rFonts w:ascii="Arial" w:hAnsi="Arial" w:cs="Arial"/>
          <w:sz w:val="20"/>
          <w:szCs w:val="20"/>
        </w:rPr>
        <w:t xml:space="preserve">% </w:t>
      </w:r>
      <w:r w:rsidR="00DF7629" w:rsidRPr="007F3D2B">
        <w:rPr>
          <w:rFonts w:ascii="Arial" w:hAnsi="Arial" w:cs="Arial"/>
          <w:sz w:val="20"/>
          <w:szCs w:val="20"/>
        </w:rPr>
        <w:t xml:space="preserve">hodnoty </w:t>
      </w:r>
      <w:r w:rsidRPr="007F3D2B">
        <w:rPr>
          <w:rFonts w:ascii="Arial" w:hAnsi="Arial" w:cs="Arial"/>
          <w:sz w:val="20"/>
          <w:szCs w:val="20"/>
        </w:rPr>
        <w:t xml:space="preserve">všech veřejných zakázek evidovaných ve </w:t>
      </w:r>
      <w:r w:rsidR="00CD2895" w:rsidRPr="007F3D2B">
        <w:rPr>
          <w:rFonts w:ascii="Arial" w:hAnsi="Arial" w:cs="Arial"/>
          <w:sz w:val="20"/>
          <w:szCs w:val="20"/>
        </w:rPr>
        <w:t>V</w:t>
      </w:r>
      <w:r w:rsidRPr="007F3D2B">
        <w:rPr>
          <w:rFonts w:ascii="Arial" w:hAnsi="Arial" w:cs="Arial"/>
          <w:sz w:val="20"/>
          <w:szCs w:val="20"/>
        </w:rPr>
        <w:t>ěstníku veřejných zakázek.  Zadavateli je v případě podlimitních veřejných zakázek také ponechána možnost postupovat v přísnějším režimu, tedy v otevřeném řízení. Zjednodušené podlimitní řízení (dále jen „ZPŘ“) prošlo od přijetí ZVZ řadou podstatných změn, které navzdory názvu řízení činí toto řízení téměř stejně administrativně náročným jako je tomu u otevřeného řízení. Přijetí nového zákona je tedy příležitostí k revizi ZPŘ tak, aby se stalo skutečně jednoduchým, administrativně a časově nenáročným řízením, které bude zároveň dostatečně transparentní a bude tak zaručovat hospodářskou soutěž. Podrobné návrhy k úpravě ZPŘ uvádíme níže.</w:t>
      </w:r>
    </w:p>
    <w:p w:rsidR="007C1A8B" w:rsidRPr="007F3D2B" w:rsidRDefault="007C1A8B" w:rsidP="007F3D2B">
      <w:pPr>
        <w:pStyle w:val="Normlnweb"/>
        <w:spacing w:before="120" w:beforeAutospacing="0" w:after="0" w:afterAutospacing="0" w:line="276" w:lineRule="auto"/>
        <w:jc w:val="both"/>
        <w:rPr>
          <w:rFonts w:ascii="Arial" w:hAnsi="Arial" w:cs="Arial"/>
          <w:sz w:val="20"/>
          <w:szCs w:val="20"/>
        </w:rPr>
      </w:pPr>
      <w:r w:rsidRPr="007F3D2B">
        <w:rPr>
          <w:rFonts w:ascii="Arial" w:hAnsi="Arial" w:cs="Arial"/>
          <w:sz w:val="20"/>
          <w:szCs w:val="20"/>
        </w:rPr>
        <w:t>Další oblastí, jejíž budoucí regulac</w:t>
      </w:r>
      <w:r w:rsidR="00CD2895" w:rsidRPr="007F3D2B">
        <w:rPr>
          <w:rFonts w:ascii="Arial" w:hAnsi="Arial" w:cs="Arial"/>
          <w:sz w:val="20"/>
          <w:szCs w:val="20"/>
        </w:rPr>
        <w:t>i</w:t>
      </w:r>
      <w:r w:rsidRPr="007F3D2B">
        <w:rPr>
          <w:rFonts w:ascii="Arial" w:hAnsi="Arial" w:cs="Arial"/>
          <w:sz w:val="20"/>
          <w:szCs w:val="20"/>
        </w:rPr>
        <w:t xml:space="preserve"> se předkládaný záměr věnuje, je oblast výjimek z působnosti zákona, kdy směrnice dávají přesný výčet výjimek pro nadlimitní veřejné zakázky, úprava výjimek pro podlimitní oblast je však plně v kompetenci členských států. Je tedy otázkou, zda na vnitrostátní úrovni katalog výjimek pro podlimitní zakázky rozšířit, či naopak některou ze současných výjimek již v novém zákoně nezavádět. ČR má také možnost nepřijetí kompletního katalogu výjimek vyplývajícího ze </w:t>
      </w:r>
      <w:r w:rsidRPr="007F3D2B">
        <w:rPr>
          <w:rFonts w:ascii="Arial" w:hAnsi="Arial" w:cs="Arial"/>
          <w:sz w:val="20"/>
          <w:szCs w:val="20"/>
        </w:rPr>
        <w:lastRenderedPageBreak/>
        <w:t xml:space="preserve">směrnic, být tedy v tomto ohledu přísnější než evropská legislativa, předkladatel však tento postup nedoporučuje a zastává názor, že by měl být převzat kompletní katalog výjimek předpokládaný směrnicemi a zachován současný katalog podlimitních výjimek. </w:t>
      </w:r>
    </w:p>
    <w:p w:rsidR="007C1A8B" w:rsidRPr="007F3D2B" w:rsidRDefault="007C1A8B" w:rsidP="007F3D2B">
      <w:pPr>
        <w:pStyle w:val="Normlnweb"/>
        <w:spacing w:before="120" w:beforeAutospacing="0" w:after="0" w:afterAutospacing="0" w:line="276" w:lineRule="auto"/>
        <w:jc w:val="both"/>
        <w:rPr>
          <w:rFonts w:ascii="Arial" w:hAnsi="Arial" w:cs="Arial"/>
          <w:sz w:val="20"/>
          <w:szCs w:val="20"/>
        </w:rPr>
      </w:pPr>
      <w:r w:rsidRPr="007F3D2B">
        <w:rPr>
          <w:rFonts w:ascii="Arial" w:hAnsi="Arial" w:cs="Arial"/>
          <w:sz w:val="20"/>
          <w:szCs w:val="20"/>
        </w:rPr>
        <w:t xml:space="preserve">Zásadní otázkou je také určení limitu mezi veřejnými zakázkami malého rozsahu, které na základě generální výjimky </w:t>
      </w:r>
      <w:r w:rsidR="00DF7629" w:rsidRPr="007F3D2B">
        <w:rPr>
          <w:rFonts w:ascii="Arial" w:hAnsi="Arial" w:cs="Arial"/>
          <w:sz w:val="20"/>
          <w:szCs w:val="20"/>
        </w:rPr>
        <w:t xml:space="preserve">(která bude zachována) </w:t>
      </w:r>
      <w:r w:rsidRPr="007F3D2B">
        <w:rPr>
          <w:rFonts w:ascii="Arial" w:hAnsi="Arial" w:cs="Arial"/>
          <w:sz w:val="20"/>
          <w:szCs w:val="20"/>
        </w:rPr>
        <w:t>nepodléhají režimu zákona a podlimitními veřejnými zakázkami, na které již zákon dopadá. Limity pro nadlimitní veřejné zakázky jsou určovány Evropskou unií. Je nutné také vyřešit otázku limitů pro možný postup v ZPŘ v případě zadávání podlimitních zakázek na stavební práce</w:t>
      </w:r>
      <w:r w:rsidR="00CB4BAB" w:rsidRPr="007F3D2B">
        <w:rPr>
          <w:rFonts w:ascii="Arial" w:hAnsi="Arial" w:cs="Arial"/>
          <w:sz w:val="20"/>
          <w:szCs w:val="20"/>
        </w:rPr>
        <w:t xml:space="preserve"> -</w:t>
      </w:r>
      <w:r w:rsidRPr="007F3D2B">
        <w:rPr>
          <w:rFonts w:ascii="Arial" w:hAnsi="Arial" w:cs="Arial"/>
          <w:sz w:val="20"/>
          <w:szCs w:val="20"/>
        </w:rPr>
        <w:t xml:space="preserve"> z pohledu předkladatele je nezbytné tento limit zvýšit.</w:t>
      </w:r>
    </w:p>
    <w:p w:rsidR="007C1A8B" w:rsidRPr="007F3D2B" w:rsidRDefault="007C1A8B" w:rsidP="007F3D2B">
      <w:pPr>
        <w:pStyle w:val="Normlnweb"/>
        <w:spacing w:before="120" w:beforeAutospacing="0" w:after="0" w:afterAutospacing="0" w:line="276" w:lineRule="auto"/>
        <w:jc w:val="both"/>
        <w:rPr>
          <w:rFonts w:ascii="Arial" w:hAnsi="Arial" w:cs="Arial"/>
          <w:sz w:val="20"/>
          <w:szCs w:val="20"/>
        </w:rPr>
      </w:pPr>
      <w:r w:rsidRPr="007F3D2B">
        <w:rPr>
          <w:rFonts w:ascii="Arial" w:hAnsi="Arial" w:cs="Arial"/>
          <w:sz w:val="20"/>
          <w:szCs w:val="20"/>
        </w:rPr>
        <w:t>Současná právní úprava na rozdíl od úpravy evropské neumožňuje omezování počtu zájemců a vyžadování prokázání splnění ekonomické kvalifikace dodavatele, je tedy otázkou, zda být v tomto ohledu v rámci vnitrostátní úpravy nadále přísnější</w:t>
      </w:r>
      <w:r w:rsidR="00E70C50" w:rsidRPr="007F3D2B">
        <w:rPr>
          <w:rFonts w:ascii="Arial" w:hAnsi="Arial" w:cs="Arial"/>
          <w:sz w:val="20"/>
          <w:szCs w:val="20"/>
        </w:rPr>
        <w:t>,</w:t>
      </w:r>
      <w:r w:rsidRPr="007F3D2B">
        <w:rPr>
          <w:rFonts w:ascii="Arial" w:hAnsi="Arial" w:cs="Arial"/>
          <w:sz w:val="20"/>
          <w:szCs w:val="20"/>
        </w:rPr>
        <w:t xml:space="preserve"> či umožnit alespoň určitou formu omezování počtu zájemců a vyžadování splnění ekonomické kvalifikace. </w:t>
      </w:r>
    </w:p>
    <w:p w:rsidR="007C1A8B" w:rsidRPr="007F3D2B" w:rsidRDefault="007C1A8B" w:rsidP="007F3D2B">
      <w:pPr>
        <w:pStyle w:val="Normlnweb"/>
        <w:spacing w:before="120" w:beforeAutospacing="0" w:after="0" w:afterAutospacing="0" w:line="276" w:lineRule="auto"/>
        <w:jc w:val="both"/>
        <w:rPr>
          <w:rFonts w:ascii="Arial" w:hAnsi="Arial" w:cs="Arial"/>
          <w:sz w:val="20"/>
          <w:szCs w:val="20"/>
        </w:rPr>
      </w:pPr>
      <w:r w:rsidRPr="007F3D2B">
        <w:rPr>
          <w:rFonts w:ascii="Arial" w:hAnsi="Arial" w:cs="Arial"/>
          <w:sz w:val="20"/>
          <w:szCs w:val="20"/>
        </w:rPr>
        <w:t>V posledních letech je pak také vedena široká diskuse vztahující se k institutu mimořádně nízké nabídkové ceny, kdy tento institut je pro mnohé zadavatel</w:t>
      </w:r>
      <w:r w:rsidR="00957801" w:rsidRPr="007F3D2B">
        <w:rPr>
          <w:rFonts w:ascii="Arial" w:hAnsi="Arial" w:cs="Arial"/>
          <w:sz w:val="20"/>
          <w:szCs w:val="20"/>
        </w:rPr>
        <w:t>e</w:t>
      </w:r>
      <w:r w:rsidRPr="007F3D2B">
        <w:rPr>
          <w:rFonts w:ascii="Arial" w:hAnsi="Arial" w:cs="Arial"/>
          <w:sz w:val="20"/>
          <w:szCs w:val="20"/>
        </w:rPr>
        <w:t xml:space="preserve"> neuchopitelný a obtížně aplikovatelný. Naskýtá se tedy otázka, zda by nebylo vhodné do zákona zakotvit určité vzorce, které by umožnily mimořádně nízkou nabídkovou cenu identifikovat. </w:t>
      </w:r>
    </w:p>
    <w:p w:rsidR="00B60D1C" w:rsidRPr="007F3D2B" w:rsidRDefault="00B60D1C" w:rsidP="007F3D2B">
      <w:pPr>
        <w:pStyle w:val="Normlnweb"/>
        <w:spacing w:before="120" w:beforeAutospacing="0" w:after="0" w:afterAutospacing="0" w:line="276" w:lineRule="auto"/>
        <w:jc w:val="both"/>
        <w:rPr>
          <w:rFonts w:ascii="Arial" w:hAnsi="Arial" w:cs="Arial"/>
          <w:sz w:val="20"/>
          <w:szCs w:val="20"/>
        </w:rPr>
      </w:pPr>
      <w:r w:rsidRPr="007F3D2B">
        <w:rPr>
          <w:rFonts w:ascii="Arial" w:hAnsi="Arial" w:cs="Arial"/>
          <w:sz w:val="20"/>
          <w:szCs w:val="20"/>
        </w:rPr>
        <w:t xml:space="preserve">Věcí čistě vnitrostátní úpravy je pak také rušení </w:t>
      </w:r>
      <w:r w:rsidR="00E70C50" w:rsidRPr="007F3D2B">
        <w:rPr>
          <w:rFonts w:ascii="Arial" w:hAnsi="Arial" w:cs="Arial"/>
          <w:sz w:val="20"/>
          <w:szCs w:val="20"/>
        </w:rPr>
        <w:t xml:space="preserve">zadávacích řízení </w:t>
      </w:r>
      <w:r w:rsidRPr="007F3D2B">
        <w:rPr>
          <w:rFonts w:ascii="Arial" w:hAnsi="Arial" w:cs="Arial"/>
          <w:sz w:val="20"/>
          <w:szCs w:val="20"/>
        </w:rPr>
        <w:t>při jedné nabídce – institut, který je nyní obsažen v právní úpravě</w:t>
      </w:r>
      <w:r w:rsidR="00E70C50" w:rsidRPr="007F3D2B">
        <w:rPr>
          <w:rFonts w:ascii="Arial" w:hAnsi="Arial" w:cs="Arial"/>
          <w:sz w:val="20"/>
          <w:szCs w:val="20"/>
        </w:rPr>
        <w:t>,</w:t>
      </w:r>
      <w:r w:rsidRPr="007F3D2B">
        <w:rPr>
          <w:rFonts w:ascii="Arial" w:hAnsi="Arial" w:cs="Arial"/>
          <w:sz w:val="20"/>
          <w:szCs w:val="20"/>
        </w:rPr>
        <w:t xml:space="preserve"> byl však </w:t>
      </w:r>
      <w:r w:rsidR="00E70C50" w:rsidRPr="007F3D2B">
        <w:rPr>
          <w:rFonts w:ascii="Arial" w:hAnsi="Arial" w:cs="Arial"/>
          <w:sz w:val="20"/>
          <w:szCs w:val="20"/>
        </w:rPr>
        <w:t xml:space="preserve">z důvodu přílišné přísnosti </w:t>
      </w:r>
      <w:r w:rsidRPr="007F3D2B">
        <w:rPr>
          <w:rFonts w:ascii="Arial" w:hAnsi="Arial" w:cs="Arial"/>
          <w:sz w:val="20"/>
          <w:szCs w:val="20"/>
        </w:rPr>
        <w:t xml:space="preserve">novelou provedenou zákonným opatřením </w:t>
      </w:r>
      <w:r w:rsidR="00E70C50" w:rsidRPr="007F3D2B">
        <w:rPr>
          <w:rFonts w:ascii="Arial" w:hAnsi="Arial" w:cs="Arial"/>
          <w:sz w:val="20"/>
          <w:szCs w:val="20"/>
        </w:rPr>
        <w:t>S</w:t>
      </w:r>
      <w:r w:rsidRPr="007F3D2B">
        <w:rPr>
          <w:rFonts w:ascii="Arial" w:hAnsi="Arial" w:cs="Arial"/>
          <w:sz w:val="20"/>
          <w:szCs w:val="20"/>
        </w:rPr>
        <w:t>enátu modifikován</w:t>
      </w:r>
      <w:r w:rsidR="00E70C50" w:rsidRPr="007F3D2B">
        <w:rPr>
          <w:rFonts w:ascii="Arial" w:hAnsi="Arial" w:cs="Arial"/>
          <w:sz w:val="20"/>
          <w:szCs w:val="20"/>
        </w:rPr>
        <w:t>.</w:t>
      </w:r>
      <w:r w:rsidRPr="007F3D2B">
        <w:rPr>
          <w:rFonts w:ascii="Arial" w:hAnsi="Arial" w:cs="Arial"/>
          <w:sz w:val="20"/>
          <w:szCs w:val="20"/>
        </w:rPr>
        <w:t xml:space="preserve"> </w:t>
      </w:r>
      <w:r w:rsidR="00E70C50" w:rsidRPr="007F3D2B">
        <w:rPr>
          <w:rFonts w:ascii="Arial" w:hAnsi="Arial" w:cs="Arial"/>
          <w:sz w:val="20"/>
          <w:szCs w:val="20"/>
        </w:rPr>
        <w:t>P</w:t>
      </w:r>
      <w:r w:rsidRPr="007F3D2B">
        <w:rPr>
          <w:rFonts w:ascii="Arial" w:hAnsi="Arial" w:cs="Arial"/>
          <w:sz w:val="20"/>
          <w:szCs w:val="20"/>
        </w:rPr>
        <w:t>ředmětem odborné diskuse však nadále zůstává</w:t>
      </w:r>
      <w:r w:rsidR="00957801" w:rsidRPr="007F3D2B">
        <w:rPr>
          <w:rFonts w:ascii="Arial" w:hAnsi="Arial" w:cs="Arial"/>
          <w:sz w:val="20"/>
          <w:szCs w:val="20"/>
        </w:rPr>
        <w:t>,</w:t>
      </w:r>
      <w:r w:rsidRPr="007F3D2B">
        <w:rPr>
          <w:rFonts w:ascii="Arial" w:hAnsi="Arial" w:cs="Arial"/>
          <w:sz w:val="20"/>
          <w:szCs w:val="20"/>
        </w:rPr>
        <w:t xml:space="preserve"> zda je tento institut efektivní a </w:t>
      </w:r>
      <w:r w:rsidR="00E70C50" w:rsidRPr="007F3D2B">
        <w:rPr>
          <w:rFonts w:ascii="Arial" w:hAnsi="Arial" w:cs="Arial"/>
          <w:sz w:val="20"/>
          <w:szCs w:val="20"/>
        </w:rPr>
        <w:t xml:space="preserve">je </w:t>
      </w:r>
      <w:r w:rsidRPr="007F3D2B">
        <w:rPr>
          <w:rFonts w:ascii="Arial" w:hAnsi="Arial" w:cs="Arial"/>
          <w:sz w:val="20"/>
          <w:szCs w:val="20"/>
        </w:rPr>
        <w:t xml:space="preserve">nezbytné </w:t>
      </w:r>
      <w:r w:rsidR="00E70C50" w:rsidRPr="007F3D2B">
        <w:rPr>
          <w:rFonts w:ascii="Arial" w:hAnsi="Arial" w:cs="Arial"/>
          <w:sz w:val="20"/>
          <w:szCs w:val="20"/>
        </w:rPr>
        <w:t xml:space="preserve">ho </w:t>
      </w:r>
      <w:r w:rsidRPr="007F3D2B">
        <w:rPr>
          <w:rFonts w:ascii="Arial" w:hAnsi="Arial" w:cs="Arial"/>
          <w:sz w:val="20"/>
          <w:szCs w:val="20"/>
        </w:rPr>
        <w:t xml:space="preserve">zachovat a v případě, že ano zda je vhodné jej modifikovat oproti současné úpravě. </w:t>
      </w:r>
    </w:p>
    <w:p w:rsidR="00B60D1C" w:rsidRPr="007F3D2B" w:rsidRDefault="00B60D1C" w:rsidP="007F3D2B">
      <w:pPr>
        <w:pStyle w:val="Normlnweb"/>
        <w:spacing w:before="120" w:beforeAutospacing="0" w:after="0" w:afterAutospacing="0" w:line="276" w:lineRule="auto"/>
        <w:jc w:val="both"/>
        <w:rPr>
          <w:rFonts w:ascii="Arial" w:hAnsi="Arial" w:cs="Arial"/>
          <w:sz w:val="20"/>
          <w:szCs w:val="20"/>
        </w:rPr>
      </w:pPr>
      <w:r w:rsidRPr="007F3D2B">
        <w:rPr>
          <w:rFonts w:ascii="Arial" w:hAnsi="Arial" w:cs="Arial"/>
          <w:sz w:val="20"/>
          <w:szCs w:val="20"/>
        </w:rPr>
        <w:t xml:space="preserve">Zásadním bodem tohoto </w:t>
      </w:r>
      <w:r w:rsidR="00E70C50" w:rsidRPr="007F3D2B">
        <w:rPr>
          <w:rFonts w:ascii="Arial" w:hAnsi="Arial" w:cs="Arial"/>
          <w:sz w:val="20"/>
          <w:szCs w:val="20"/>
        </w:rPr>
        <w:t xml:space="preserve">věcného </w:t>
      </w:r>
      <w:r w:rsidRPr="007F3D2B">
        <w:rPr>
          <w:rFonts w:ascii="Arial" w:hAnsi="Arial" w:cs="Arial"/>
          <w:sz w:val="20"/>
          <w:szCs w:val="20"/>
        </w:rPr>
        <w:t>záměru j</w:t>
      </w:r>
      <w:r w:rsidR="00A63937" w:rsidRPr="007F3D2B">
        <w:rPr>
          <w:rFonts w:ascii="Arial" w:hAnsi="Arial" w:cs="Arial"/>
          <w:sz w:val="20"/>
          <w:szCs w:val="20"/>
        </w:rPr>
        <w:t>sou</w:t>
      </w:r>
      <w:r w:rsidRPr="007F3D2B">
        <w:rPr>
          <w:rFonts w:ascii="Arial" w:hAnsi="Arial" w:cs="Arial"/>
          <w:sz w:val="20"/>
          <w:szCs w:val="20"/>
        </w:rPr>
        <w:t xml:space="preserve"> pak způsob a podmínky zadávání dodatečných stavebních prací, dodávek a služeb, kdy řešení této problematiky naskýtá velké množství</w:t>
      </w:r>
      <w:r w:rsidR="00F0585A" w:rsidRPr="007F3D2B">
        <w:rPr>
          <w:rFonts w:ascii="Arial" w:hAnsi="Arial" w:cs="Arial"/>
          <w:sz w:val="20"/>
          <w:szCs w:val="20"/>
        </w:rPr>
        <w:t xml:space="preserve"> variant a jejich </w:t>
      </w:r>
      <w:r w:rsidR="00680B72" w:rsidRPr="007F3D2B">
        <w:rPr>
          <w:rFonts w:ascii="Arial" w:hAnsi="Arial" w:cs="Arial"/>
          <w:sz w:val="20"/>
          <w:szCs w:val="20"/>
        </w:rPr>
        <w:t>kombinací</w:t>
      </w:r>
      <w:r w:rsidR="00F0585A" w:rsidRPr="007F3D2B">
        <w:rPr>
          <w:rFonts w:ascii="Arial" w:hAnsi="Arial" w:cs="Arial"/>
          <w:sz w:val="20"/>
          <w:szCs w:val="20"/>
        </w:rPr>
        <w:t xml:space="preserve">. </w:t>
      </w:r>
      <w:r w:rsidRPr="007F3D2B">
        <w:rPr>
          <w:rFonts w:ascii="Arial" w:hAnsi="Arial" w:cs="Arial"/>
          <w:sz w:val="20"/>
          <w:szCs w:val="20"/>
        </w:rPr>
        <w:t xml:space="preserve">Je zde nutné rozhodnout, zda na vnitrostátní úrovni </w:t>
      </w:r>
      <w:r w:rsidR="00A63937" w:rsidRPr="007F3D2B">
        <w:rPr>
          <w:rFonts w:ascii="Arial" w:hAnsi="Arial" w:cs="Arial"/>
          <w:sz w:val="20"/>
          <w:szCs w:val="20"/>
        </w:rPr>
        <w:t xml:space="preserve">bude </w:t>
      </w:r>
      <w:r w:rsidRPr="007F3D2B">
        <w:rPr>
          <w:rFonts w:ascii="Arial" w:hAnsi="Arial" w:cs="Arial"/>
          <w:sz w:val="20"/>
          <w:szCs w:val="20"/>
        </w:rPr>
        <w:t>zvol</w:t>
      </w:r>
      <w:r w:rsidR="00A63937" w:rsidRPr="007F3D2B">
        <w:rPr>
          <w:rFonts w:ascii="Arial" w:hAnsi="Arial" w:cs="Arial"/>
          <w:sz w:val="20"/>
          <w:szCs w:val="20"/>
        </w:rPr>
        <w:t>ena</w:t>
      </w:r>
      <w:r w:rsidRPr="007F3D2B">
        <w:rPr>
          <w:rFonts w:ascii="Arial" w:hAnsi="Arial" w:cs="Arial"/>
          <w:sz w:val="20"/>
          <w:szCs w:val="20"/>
        </w:rPr>
        <w:t xml:space="preserve"> ve vztahu k zadávání dodatečných stave</w:t>
      </w:r>
      <w:r w:rsidR="00957801" w:rsidRPr="007F3D2B">
        <w:rPr>
          <w:rFonts w:ascii="Arial" w:hAnsi="Arial" w:cs="Arial"/>
          <w:sz w:val="20"/>
          <w:szCs w:val="20"/>
        </w:rPr>
        <w:t>b</w:t>
      </w:r>
      <w:r w:rsidRPr="007F3D2B">
        <w:rPr>
          <w:rFonts w:ascii="Arial" w:hAnsi="Arial" w:cs="Arial"/>
          <w:sz w:val="20"/>
          <w:szCs w:val="20"/>
        </w:rPr>
        <w:t xml:space="preserve">ních prací, dodávek a služeb tak </w:t>
      </w:r>
      <w:r w:rsidR="00957801" w:rsidRPr="007F3D2B">
        <w:rPr>
          <w:rFonts w:ascii="Arial" w:hAnsi="Arial" w:cs="Arial"/>
          <w:sz w:val="20"/>
          <w:szCs w:val="20"/>
        </w:rPr>
        <w:t>voln</w:t>
      </w:r>
      <w:r w:rsidR="00A63937" w:rsidRPr="007F3D2B">
        <w:rPr>
          <w:rFonts w:ascii="Arial" w:hAnsi="Arial" w:cs="Arial"/>
          <w:sz w:val="20"/>
          <w:szCs w:val="20"/>
        </w:rPr>
        <w:t>ý</w:t>
      </w:r>
      <w:r w:rsidR="00957801" w:rsidRPr="007F3D2B">
        <w:rPr>
          <w:rFonts w:ascii="Arial" w:hAnsi="Arial" w:cs="Arial"/>
          <w:sz w:val="20"/>
          <w:szCs w:val="20"/>
        </w:rPr>
        <w:t xml:space="preserve"> přístup</w:t>
      </w:r>
      <w:r w:rsidR="00A63937" w:rsidRPr="007F3D2B">
        <w:rPr>
          <w:rFonts w:ascii="Arial" w:hAnsi="Arial" w:cs="Arial"/>
          <w:sz w:val="20"/>
          <w:szCs w:val="20"/>
        </w:rPr>
        <w:t>,</w:t>
      </w:r>
      <w:r w:rsidRPr="007F3D2B">
        <w:rPr>
          <w:rFonts w:ascii="Arial" w:hAnsi="Arial" w:cs="Arial"/>
          <w:sz w:val="20"/>
          <w:szCs w:val="20"/>
        </w:rPr>
        <w:t xml:space="preserve"> jako je nastaven ve směrnicích. </w:t>
      </w:r>
    </w:p>
    <w:p w:rsidR="009913A2" w:rsidRPr="007F3D2B" w:rsidRDefault="009D189E" w:rsidP="007F3D2B">
      <w:pPr>
        <w:pStyle w:val="Normlnweb"/>
        <w:spacing w:before="120" w:beforeAutospacing="0" w:after="0" w:afterAutospacing="0" w:line="276" w:lineRule="auto"/>
        <w:jc w:val="both"/>
        <w:rPr>
          <w:rFonts w:ascii="Arial" w:hAnsi="Arial" w:cs="Arial"/>
          <w:sz w:val="20"/>
          <w:szCs w:val="20"/>
        </w:rPr>
      </w:pPr>
      <w:r w:rsidRPr="007F3D2B">
        <w:rPr>
          <w:rFonts w:ascii="Arial" w:hAnsi="Arial" w:cs="Arial"/>
          <w:sz w:val="20"/>
          <w:szCs w:val="20"/>
        </w:rPr>
        <w:t>Často diskutovaným problémem, přestože ve vztahu k dohledovým směrnicím nedošlo ke změně, je také oblast dohledu nad zadáváním veřejných zakázek, kdy zadavatelé i dodavatele volaj</w:t>
      </w:r>
      <w:r w:rsidR="00F0585A" w:rsidRPr="007F3D2B">
        <w:rPr>
          <w:rFonts w:ascii="Arial" w:hAnsi="Arial" w:cs="Arial"/>
          <w:sz w:val="20"/>
          <w:szCs w:val="20"/>
        </w:rPr>
        <w:t>í po urychlení přezkumu zadávání vedeném</w:t>
      </w:r>
      <w:r w:rsidRPr="007F3D2B">
        <w:rPr>
          <w:rFonts w:ascii="Arial" w:hAnsi="Arial" w:cs="Arial"/>
          <w:sz w:val="20"/>
          <w:szCs w:val="20"/>
        </w:rPr>
        <w:t xml:space="preserve"> u </w:t>
      </w:r>
      <w:r w:rsidR="00957801" w:rsidRPr="007F3D2B">
        <w:rPr>
          <w:rFonts w:ascii="Arial" w:hAnsi="Arial" w:cs="Arial"/>
          <w:sz w:val="20"/>
          <w:szCs w:val="20"/>
        </w:rPr>
        <w:t>Ú</w:t>
      </w:r>
      <w:r w:rsidRPr="007F3D2B">
        <w:rPr>
          <w:rFonts w:ascii="Arial" w:hAnsi="Arial" w:cs="Arial"/>
          <w:sz w:val="20"/>
          <w:szCs w:val="20"/>
        </w:rPr>
        <w:t>OHS.</w:t>
      </w:r>
    </w:p>
    <w:p w:rsidR="00E63F98" w:rsidRDefault="00BF1C57" w:rsidP="007F3D2B">
      <w:pPr>
        <w:pStyle w:val="Normlnweb"/>
        <w:spacing w:before="120" w:beforeAutospacing="0" w:after="0" w:afterAutospacing="0" w:line="276" w:lineRule="auto"/>
        <w:jc w:val="both"/>
        <w:rPr>
          <w:rFonts w:ascii="Arial" w:hAnsi="Arial" w:cs="Arial"/>
          <w:sz w:val="20"/>
          <w:szCs w:val="20"/>
        </w:rPr>
      </w:pPr>
      <w:r w:rsidRPr="007F3D2B">
        <w:rPr>
          <w:rFonts w:ascii="Arial" w:hAnsi="Arial" w:cs="Arial"/>
          <w:sz w:val="20"/>
          <w:szCs w:val="20"/>
        </w:rPr>
        <w:t>Poslední zásadní otázkou, která je řešena tímto věcným záměrem</w:t>
      </w:r>
      <w:r w:rsidR="00E63F98">
        <w:rPr>
          <w:rFonts w:ascii="Arial" w:hAnsi="Arial" w:cs="Arial"/>
          <w:sz w:val="20"/>
          <w:szCs w:val="20"/>
        </w:rPr>
        <w:t>,</w:t>
      </w:r>
      <w:r w:rsidRPr="007F3D2B">
        <w:rPr>
          <w:rFonts w:ascii="Arial" w:hAnsi="Arial" w:cs="Arial"/>
          <w:sz w:val="20"/>
          <w:szCs w:val="20"/>
        </w:rPr>
        <w:t xml:space="preserve"> je pak problematika rozkrývání vlastnické struktury dodavatelů veřejných zakázek.</w:t>
      </w:r>
    </w:p>
    <w:p w:rsidR="00BE5F23" w:rsidRPr="007F3D2B" w:rsidRDefault="007C1A8B" w:rsidP="007F3D2B">
      <w:pPr>
        <w:pStyle w:val="Normlnweb"/>
        <w:spacing w:before="120" w:beforeAutospacing="0" w:after="0" w:afterAutospacing="0" w:line="276" w:lineRule="auto"/>
        <w:jc w:val="both"/>
        <w:rPr>
          <w:rFonts w:ascii="Arial" w:hAnsi="Arial" w:cs="Arial"/>
          <w:sz w:val="20"/>
          <w:szCs w:val="20"/>
        </w:rPr>
      </w:pPr>
      <w:r w:rsidRPr="007F3D2B">
        <w:rPr>
          <w:rFonts w:ascii="Arial" w:hAnsi="Arial" w:cs="Arial"/>
          <w:sz w:val="20"/>
          <w:szCs w:val="20"/>
        </w:rPr>
        <w:t xml:space="preserve">Právě výše uvedené skutečnosti, tedy regulace oblastí neregulovaných směrnicemi, či </w:t>
      </w:r>
      <w:r w:rsidR="00A63937" w:rsidRPr="007F3D2B">
        <w:rPr>
          <w:rFonts w:ascii="Arial" w:hAnsi="Arial" w:cs="Arial"/>
          <w:sz w:val="20"/>
          <w:szCs w:val="20"/>
        </w:rPr>
        <w:t xml:space="preserve">oblastí, ve kterých směrnice </w:t>
      </w:r>
      <w:r w:rsidRPr="007F3D2B">
        <w:rPr>
          <w:rFonts w:ascii="Arial" w:hAnsi="Arial" w:cs="Arial"/>
          <w:sz w:val="20"/>
          <w:szCs w:val="20"/>
        </w:rPr>
        <w:t xml:space="preserve">umožňují přísnější postup členských států, vedly předkladatele k rozhodnutí předložit </w:t>
      </w:r>
      <w:r w:rsidR="00A63937" w:rsidRPr="007F3D2B">
        <w:rPr>
          <w:rFonts w:ascii="Arial" w:hAnsi="Arial" w:cs="Arial"/>
          <w:sz w:val="20"/>
          <w:szCs w:val="20"/>
        </w:rPr>
        <w:t>v</w:t>
      </w:r>
      <w:r w:rsidRPr="007F3D2B">
        <w:rPr>
          <w:rFonts w:ascii="Arial" w:hAnsi="Arial" w:cs="Arial"/>
          <w:sz w:val="20"/>
          <w:szCs w:val="20"/>
        </w:rPr>
        <w:t xml:space="preserve">ládě ke schválení věcný záměr zákona, ve kterém se předkladatel zaměřuje pouze na zásadní oblasti a otázky a předkládá tímto návrh, který by měl stanovit mantinely pro budoucí regulaci daných oblastí. </w:t>
      </w:r>
    </w:p>
    <w:p w:rsidR="008C463E" w:rsidRPr="007F3D2B" w:rsidRDefault="008C463E" w:rsidP="007F3D2B">
      <w:pPr>
        <w:spacing w:before="120" w:line="276" w:lineRule="auto"/>
        <w:jc w:val="both"/>
        <w:rPr>
          <w:rFonts w:ascii="Arial" w:hAnsi="Arial" w:cs="Arial"/>
          <w:sz w:val="20"/>
          <w:szCs w:val="20"/>
        </w:rPr>
      </w:pPr>
    </w:p>
    <w:p w:rsidR="003957A3" w:rsidRPr="007F3D2B" w:rsidRDefault="008D42E8" w:rsidP="007F3D2B">
      <w:pPr>
        <w:spacing w:before="120" w:line="276" w:lineRule="auto"/>
        <w:jc w:val="both"/>
        <w:rPr>
          <w:rFonts w:ascii="Arial" w:hAnsi="Arial" w:cs="Arial"/>
          <w:sz w:val="20"/>
          <w:szCs w:val="20"/>
        </w:rPr>
      </w:pPr>
      <w:r w:rsidRPr="007F3D2B">
        <w:rPr>
          <w:rFonts w:ascii="Arial" w:hAnsi="Arial" w:cs="Arial"/>
          <w:b/>
          <w:sz w:val="20"/>
          <w:szCs w:val="20"/>
        </w:rPr>
        <w:t>1.3</w:t>
      </w:r>
      <w:r w:rsidR="008C463E" w:rsidRPr="007F3D2B">
        <w:rPr>
          <w:rFonts w:ascii="Arial" w:hAnsi="Arial" w:cs="Arial"/>
          <w:b/>
          <w:sz w:val="20"/>
          <w:szCs w:val="20"/>
        </w:rPr>
        <w:t>. Popis existujícího právního stavu v dané oblasti</w:t>
      </w:r>
    </w:p>
    <w:p w:rsidR="008C463E" w:rsidRPr="007F3D2B" w:rsidRDefault="008C463E" w:rsidP="007F3D2B">
      <w:pPr>
        <w:pStyle w:val="Odstavecseseznamem"/>
        <w:spacing w:before="120" w:line="276" w:lineRule="auto"/>
        <w:rPr>
          <w:rFonts w:ascii="Arial" w:hAnsi="Arial" w:cs="Arial"/>
          <w:sz w:val="20"/>
        </w:rPr>
      </w:pPr>
    </w:p>
    <w:p w:rsidR="00B62C91" w:rsidRPr="007F3D2B" w:rsidRDefault="00831401" w:rsidP="007F3D2B">
      <w:pPr>
        <w:spacing w:before="120" w:line="276" w:lineRule="auto"/>
        <w:jc w:val="both"/>
        <w:rPr>
          <w:rFonts w:ascii="Arial" w:hAnsi="Arial" w:cs="Arial"/>
          <w:sz w:val="20"/>
          <w:szCs w:val="20"/>
        </w:rPr>
      </w:pPr>
      <w:r w:rsidRPr="007F3D2B">
        <w:rPr>
          <w:rFonts w:ascii="Arial" w:hAnsi="Arial" w:cs="Arial"/>
          <w:sz w:val="20"/>
          <w:szCs w:val="20"/>
        </w:rPr>
        <w:t>Zákon</w:t>
      </w:r>
      <w:r w:rsidR="00302223" w:rsidRPr="007F3D2B">
        <w:rPr>
          <w:rFonts w:ascii="Arial" w:hAnsi="Arial" w:cs="Arial"/>
          <w:sz w:val="20"/>
          <w:szCs w:val="20"/>
        </w:rPr>
        <w:t xml:space="preserve"> č. 137/2006 Sb., o veřejných zakázkách</w:t>
      </w:r>
      <w:r w:rsidR="007C2425" w:rsidRPr="007F3D2B">
        <w:rPr>
          <w:rFonts w:ascii="Arial" w:hAnsi="Arial" w:cs="Arial"/>
          <w:sz w:val="20"/>
          <w:szCs w:val="20"/>
        </w:rPr>
        <w:t>,</w:t>
      </w:r>
      <w:r w:rsidR="00302223" w:rsidRPr="007F3D2B">
        <w:rPr>
          <w:rFonts w:ascii="Arial" w:hAnsi="Arial" w:cs="Arial"/>
          <w:sz w:val="20"/>
          <w:szCs w:val="20"/>
        </w:rPr>
        <w:t xml:space="preserve"> ve znění pozdějších předpisů</w:t>
      </w:r>
      <w:r w:rsidR="00B62C91" w:rsidRPr="007F3D2B">
        <w:rPr>
          <w:rFonts w:ascii="Arial" w:hAnsi="Arial" w:cs="Arial"/>
          <w:sz w:val="20"/>
          <w:szCs w:val="20"/>
        </w:rPr>
        <w:t>,</w:t>
      </w:r>
      <w:r w:rsidR="00B7678A" w:rsidRPr="007F3D2B">
        <w:rPr>
          <w:rFonts w:ascii="Arial" w:hAnsi="Arial" w:cs="Arial"/>
          <w:sz w:val="20"/>
          <w:szCs w:val="20"/>
        </w:rPr>
        <w:t xml:space="preserve"> </w:t>
      </w:r>
      <w:r w:rsidR="00302223" w:rsidRPr="007F3D2B">
        <w:rPr>
          <w:rFonts w:ascii="Arial" w:hAnsi="Arial" w:cs="Arial"/>
          <w:sz w:val="20"/>
          <w:szCs w:val="20"/>
        </w:rPr>
        <w:t>obsahuje komplexní úpravu zadávání veřejných zakáze</w:t>
      </w:r>
      <w:r w:rsidR="00A26F8F" w:rsidRPr="007F3D2B">
        <w:rPr>
          <w:rFonts w:ascii="Arial" w:hAnsi="Arial" w:cs="Arial"/>
          <w:sz w:val="20"/>
          <w:szCs w:val="20"/>
        </w:rPr>
        <w:t>k v ČR. Tento zákon provádí tran</w:t>
      </w:r>
      <w:r w:rsidR="00302223" w:rsidRPr="007F3D2B">
        <w:rPr>
          <w:rFonts w:ascii="Arial" w:hAnsi="Arial" w:cs="Arial"/>
          <w:sz w:val="20"/>
          <w:szCs w:val="20"/>
        </w:rPr>
        <w:t xml:space="preserve">spozici evropských zadávacích směrnic </w:t>
      </w:r>
      <w:r w:rsidR="00B62C91" w:rsidRPr="007F3D2B">
        <w:rPr>
          <w:rFonts w:ascii="Arial" w:hAnsi="Arial" w:cs="Arial"/>
          <w:sz w:val="20"/>
          <w:szCs w:val="20"/>
        </w:rPr>
        <w:t xml:space="preserve">Evropského parlamentu a Rady </w:t>
      </w:r>
      <w:r w:rsidR="00302223" w:rsidRPr="007F3D2B">
        <w:rPr>
          <w:rFonts w:ascii="Arial" w:hAnsi="Arial" w:cs="Arial"/>
          <w:sz w:val="20"/>
          <w:szCs w:val="20"/>
        </w:rPr>
        <w:t xml:space="preserve">2004/18/ES ze dne 31. března 2004 o koordinaci postupů při zadávání veřejných zakázek na stavební práce, dodávky a služby, 2004/17/ES ze dne 31. března 2004 o koordinaci postupů při zadávání veřejných zakázek subjekty působícími v odvětví vodního hospodářství, energetiky, dopravy a poštovních služeb, 2007/66/ES ze dne 11. prosince 2007, kterou se </w:t>
      </w:r>
      <w:r w:rsidR="00C803CF" w:rsidRPr="007F3D2B">
        <w:rPr>
          <w:rFonts w:ascii="Arial" w:hAnsi="Arial" w:cs="Arial"/>
          <w:sz w:val="20"/>
          <w:szCs w:val="20"/>
        </w:rPr>
        <w:t>mění směrnice Rady 89/665/EHS a </w:t>
      </w:r>
      <w:r w:rsidR="00302223" w:rsidRPr="007F3D2B">
        <w:rPr>
          <w:rFonts w:ascii="Arial" w:hAnsi="Arial" w:cs="Arial"/>
          <w:sz w:val="20"/>
          <w:szCs w:val="20"/>
        </w:rPr>
        <w:t xml:space="preserve">92/13/EHS, pokud jde o zvýšení účinnosti přezkumného řízení při zadávání veřejných zakázek a 2009/81/ES ze dne 13. července </w:t>
      </w:r>
      <w:r w:rsidR="00302223" w:rsidRPr="007F3D2B">
        <w:rPr>
          <w:rFonts w:ascii="Arial" w:hAnsi="Arial" w:cs="Arial"/>
          <w:sz w:val="20"/>
          <w:szCs w:val="20"/>
        </w:rPr>
        <w:lastRenderedPageBreak/>
        <w:t>2009 o koordinaci postupů při zadávání některých zakázek na stavební práce, dodávky a služby zadavateli v oblasti obrany a bezpečnosti</w:t>
      </w:r>
      <w:r w:rsidR="00B62C91" w:rsidRPr="007F3D2B">
        <w:rPr>
          <w:rFonts w:ascii="Arial" w:hAnsi="Arial" w:cs="Arial"/>
          <w:sz w:val="20"/>
          <w:szCs w:val="20"/>
        </w:rPr>
        <w:t xml:space="preserve"> a o změně směrnic 2004/17/ES a 2004/18/ES</w:t>
      </w:r>
      <w:r w:rsidR="00302223" w:rsidRPr="007F3D2B">
        <w:rPr>
          <w:rFonts w:ascii="Arial" w:hAnsi="Arial" w:cs="Arial"/>
          <w:sz w:val="20"/>
          <w:szCs w:val="20"/>
        </w:rPr>
        <w:t>.</w:t>
      </w:r>
    </w:p>
    <w:p w:rsidR="003957A3" w:rsidRPr="007F3D2B" w:rsidRDefault="008C463E" w:rsidP="007F3D2B">
      <w:pPr>
        <w:spacing w:before="120" w:line="276" w:lineRule="auto"/>
        <w:jc w:val="both"/>
        <w:rPr>
          <w:rFonts w:ascii="Arial" w:hAnsi="Arial" w:cs="Arial"/>
          <w:sz w:val="20"/>
          <w:szCs w:val="20"/>
        </w:rPr>
      </w:pPr>
      <w:r w:rsidRPr="007F3D2B">
        <w:rPr>
          <w:rFonts w:ascii="Arial" w:hAnsi="Arial" w:cs="Arial"/>
          <w:sz w:val="20"/>
          <w:szCs w:val="20"/>
        </w:rPr>
        <w:t>Oblast zadávání koncesí je pak regulován</w:t>
      </w:r>
      <w:r w:rsidR="00B62C91" w:rsidRPr="007F3D2B">
        <w:rPr>
          <w:rFonts w:ascii="Arial" w:hAnsi="Arial" w:cs="Arial"/>
          <w:sz w:val="20"/>
          <w:szCs w:val="20"/>
        </w:rPr>
        <w:t>a</w:t>
      </w:r>
      <w:r w:rsidRPr="007F3D2B">
        <w:rPr>
          <w:rFonts w:ascii="Arial" w:hAnsi="Arial" w:cs="Arial"/>
          <w:sz w:val="20"/>
          <w:szCs w:val="20"/>
        </w:rPr>
        <w:t xml:space="preserve"> zákonem </w:t>
      </w:r>
      <w:hyperlink r:id="rId12" w:anchor="seznam" w:tgtFrame="_blank" w:tooltip="Odkaz bude otevřen v novém okně." w:history="1">
        <w:r w:rsidRPr="007F3D2B">
          <w:rPr>
            <w:rFonts w:ascii="Arial" w:hAnsi="Arial" w:cs="Arial"/>
            <w:sz w:val="20"/>
            <w:szCs w:val="20"/>
          </w:rPr>
          <w:t>č. 139/2006 Sb., o koncesních smlouvách a koncesním řízení. </w:t>
        </w:r>
      </w:hyperlink>
    </w:p>
    <w:p w:rsidR="008356DE" w:rsidRPr="007F3D2B" w:rsidRDefault="008356DE" w:rsidP="007F3D2B">
      <w:pPr>
        <w:pStyle w:val="Zkladntext"/>
        <w:spacing w:before="120" w:after="0" w:line="276" w:lineRule="auto"/>
        <w:jc w:val="both"/>
        <w:rPr>
          <w:rFonts w:ascii="Arial" w:hAnsi="Arial" w:cs="Arial"/>
          <w:sz w:val="20"/>
          <w:szCs w:val="20"/>
        </w:rPr>
      </w:pPr>
    </w:p>
    <w:p w:rsidR="00ED5D69" w:rsidRPr="007F3D2B" w:rsidRDefault="00ED5D69" w:rsidP="007F3D2B">
      <w:pPr>
        <w:pStyle w:val="Zkladntext"/>
        <w:spacing w:before="120" w:after="0" w:line="276" w:lineRule="auto"/>
        <w:jc w:val="both"/>
        <w:rPr>
          <w:rFonts w:ascii="Arial" w:hAnsi="Arial" w:cs="Arial"/>
          <w:sz w:val="20"/>
          <w:szCs w:val="20"/>
        </w:rPr>
      </w:pPr>
      <w:r w:rsidRPr="007F3D2B">
        <w:rPr>
          <w:rFonts w:ascii="Arial" w:hAnsi="Arial" w:cs="Arial"/>
          <w:sz w:val="20"/>
          <w:szCs w:val="20"/>
        </w:rPr>
        <w:t>Rada EU v únoru 2014 schválila tři nové směrnice</w:t>
      </w:r>
      <w:r w:rsidR="0086797A" w:rsidRPr="007F3D2B">
        <w:rPr>
          <w:rFonts w:ascii="Arial" w:hAnsi="Arial" w:cs="Arial"/>
          <w:sz w:val="20"/>
          <w:szCs w:val="20"/>
        </w:rPr>
        <w:t>: 2014/24/EU ze dne 26. února 2014 o zadávání veřejných zakázek a o zrušení směrnice 2014/18/EU, 2014/25/EU ze dne 26. února 2014 o zadávání zakázek subjekty působícími v odvětví vodního hospodářství, energetiky, dopravy a poštovních služeb a o zrušení směrnice 2004/17/EU,</w:t>
      </w:r>
      <w:r w:rsidR="00B62C91" w:rsidRPr="007F3D2B">
        <w:rPr>
          <w:rFonts w:ascii="Arial" w:hAnsi="Arial" w:cs="Arial"/>
          <w:sz w:val="20"/>
          <w:szCs w:val="20"/>
        </w:rPr>
        <w:t xml:space="preserve"> a</w:t>
      </w:r>
      <w:r w:rsidR="0086797A" w:rsidRPr="007F3D2B">
        <w:rPr>
          <w:rFonts w:ascii="Arial" w:hAnsi="Arial" w:cs="Arial"/>
          <w:sz w:val="20"/>
          <w:szCs w:val="20"/>
        </w:rPr>
        <w:t xml:space="preserve">  2014/23/EU ze dne 26. února 2014 o udělování koncesí</w:t>
      </w:r>
      <w:r w:rsidR="00DF7629" w:rsidRPr="007F3D2B">
        <w:rPr>
          <w:rFonts w:ascii="Arial" w:hAnsi="Arial" w:cs="Arial"/>
          <w:sz w:val="20"/>
          <w:szCs w:val="20"/>
        </w:rPr>
        <w:t>. Ty</w:t>
      </w:r>
      <w:r w:rsidR="007F6D85" w:rsidRPr="007F3D2B">
        <w:rPr>
          <w:rFonts w:ascii="Arial" w:hAnsi="Arial" w:cs="Arial"/>
          <w:sz w:val="20"/>
          <w:szCs w:val="20"/>
        </w:rPr>
        <w:t>t</w:t>
      </w:r>
      <w:r w:rsidR="00DF7629" w:rsidRPr="007F3D2B">
        <w:rPr>
          <w:rFonts w:ascii="Arial" w:hAnsi="Arial" w:cs="Arial"/>
          <w:sz w:val="20"/>
          <w:szCs w:val="20"/>
        </w:rPr>
        <w:t xml:space="preserve">o </w:t>
      </w:r>
      <w:r w:rsidR="00957801" w:rsidRPr="007F3D2B">
        <w:rPr>
          <w:rFonts w:ascii="Arial" w:hAnsi="Arial" w:cs="Arial"/>
          <w:sz w:val="20"/>
          <w:szCs w:val="20"/>
        </w:rPr>
        <w:t>směrnice regulují</w:t>
      </w:r>
      <w:r w:rsidRPr="007F3D2B">
        <w:rPr>
          <w:rFonts w:ascii="Arial" w:hAnsi="Arial" w:cs="Arial"/>
          <w:sz w:val="20"/>
          <w:szCs w:val="20"/>
        </w:rPr>
        <w:t xml:space="preserve"> oblast zadávání veřejných zakázek v EU.</w:t>
      </w:r>
    </w:p>
    <w:p w:rsidR="00ED5D69" w:rsidRPr="007F3D2B" w:rsidRDefault="00ED5D69" w:rsidP="007F3D2B">
      <w:pPr>
        <w:pStyle w:val="Zkladntext"/>
        <w:spacing w:before="120" w:after="0" w:line="276" w:lineRule="auto"/>
        <w:jc w:val="both"/>
        <w:rPr>
          <w:rFonts w:ascii="Arial" w:hAnsi="Arial" w:cs="Arial"/>
          <w:sz w:val="20"/>
          <w:szCs w:val="20"/>
        </w:rPr>
      </w:pPr>
      <w:r w:rsidRPr="007F3D2B">
        <w:rPr>
          <w:rFonts w:ascii="Arial" w:hAnsi="Arial" w:cs="Arial"/>
          <w:sz w:val="20"/>
          <w:szCs w:val="20"/>
        </w:rPr>
        <w:t>Dne 28. března 2014 byly v Úředním věstníku Evropské unie tyto směrnice publikovány.</w:t>
      </w:r>
    </w:p>
    <w:p w:rsidR="00ED5D69" w:rsidRDefault="00ED5D69" w:rsidP="007F3D2B">
      <w:pPr>
        <w:pStyle w:val="Zkladntext"/>
        <w:spacing w:before="120" w:after="0" w:line="276" w:lineRule="auto"/>
        <w:jc w:val="both"/>
        <w:rPr>
          <w:rFonts w:ascii="Arial" w:hAnsi="Arial" w:cs="Arial"/>
          <w:sz w:val="20"/>
          <w:szCs w:val="20"/>
        </w:rPr>
      </w:pPr>
      <w:r w:rsidRPr="007F3D2B">
        <w:rPr>
          <w:rFonts w:ascii="Arial" w:hAnsi="Arial" w:cs="Arial"/>
          <w:sz w:val="20"/>
          <w:szCs w:val="20"/>
        </w:rPr>
        <w:t>S ohledem na skutečnost, že směrnice vstupují v platnost dvacátým dnem po jejich vyhlášení v Úředním věstníku Evropské unie, tedy d</w:t>
      </w:r>
      <w:r w:rsidR="00430A5F" w:rsidRPr="007F3D2B">
        <w:rPr>
          <w:rFonts w:ascii="Arial" w:hAnsi="Arial" w:cs="Arial"/>
          <w:sz w:val="20"/>
          <w:szCs w:val="20"/>
        </w:rPr>
        <w:t>ne</w:t>
      </w:r>
      <w:r w:rsidRPr="007F3D2B">
        <w:rPr>
          <w:rFonts w:ascii="Arial" w:hAnsi="Arial" w:cs="Arial"/>
          <w:sz w:val="20"/>
          <w:szCs w:val="20"/>
        </w:rPr>
        <w:t xml:space="preserve"> 1</w:t>
      </w:r>
      <w:r w:rsidR="002B0191" w:rsidRPr="007F3D2B">
        <w:rPr>
          <w:rFonts w:ascii="Arial" w:hAnsi="Arial" w:cs="Arial"/>
          <w:sz w:val="20"/>
          <w:szCs w:val="20"/>
        </w:rPr>
        <w:t>8</w:t>
      </w:r>
      <w:r w:rsidRPr="007F3D2B">
        <w:rPr>
          <w:rFonts w:ascii="Arial" w:hAnsi="Arial" w:cs="Arial"/>
          <w:sz w:val="20"/>
          <w:szCs w:val="20"/>
        </w:rPr>
        <w:t>. dubna 2014, je Česká republika povinna, jakož i ostatní členské státy, do 1</w:t>
      </w:r>
      <w:r w:rsidR="002B0191" w:rsidRPr="007F3D2B">
        <w:rPr>
          <w:rFonts w:ascii="Arial" w:hAnsi="Arial" w:cs="Arial"/>
          <w:sz w:val="20"/>
          <w:szCs w:val="20"/>
        </w:rPr>
        <w:t>8</w:t>
      </w:r>
      <w:r w:rsidRPr="007F3D2B">
        <w:rPr>
          <w:rFonts w:ascii="Arial" w:hAnsi="Arial" w:cs="Arial"/>
          <w:sz w:val="20"/>
          <w:szCs w:val="20"/>
        </w:rPr>
        <w:t>. dubna 2016 převzít nová pravidla do vnitrostátního právního řádu.</w:t>
      </w:r>
    </w:p>
    <w:p w:rsidR="00081C71" w:rsidRDefault="004310E4" w:rsidP="007F3D2B">
      <w:pPr>
        <w:pStyle w:val="Zkladntext"/>
        <w:spacing w:before="120" w:after="0" w:line="276" w:lineRule="auto"/>
        <w:jc w:val="both"/>
        <w:rPr>
          <w:rFonts w:ascii="Arial" w:hAnsi="Arial" w:cs="Arial"/>
          <w:sz w:val="20"/>
          <w:szCs w:val="20"/>
        </w:rPr>
      </w:pPr>
      <w:r>
        <w:rPr>
          <w:rFonts w:ascii="Arial" w:hAnsi="Arial" w:cs="Arial"/>
          <w:sz w:val="20"/>
          <w:szCs w:val="20"/>
        </w:rPr>
        <w:t>Ohledně stávající právní úpravy ve va</w:t>
      </w:r>
      <w:r w:rsidR="00E63F98">
        <w:rPr>
          <w:rFonts w:ascii="Arial" w:hAnsi="Arial" w:cs="Arial"/>
          <w:sz w:val="20"/>
          <w:szCs w:val="20"/>
        </w:rPr>
        <w:t xml:space="preserve">zbě na rozbor skutečného stavu </w:t>
      </w:r>
      <w:r>
        <w:rPr>
          <w:rFonts w:ascii="Arial" w:hAnsi="Arial" w:cs="Arial"/>
          <w:sz w:val="20"/>
          <w:szCs w:val="20"/>
        </w:rPr>
        <w:t>odkazujeme na bod 2 této Závěrečné zprávy</w:t>
      </w:r>
      <w:r w:rsidR="00081C71">
        <w:rPr>
          <w:rFonts w:ascii="Arial" w:hAnsi="Arial" w:cs="Arial"/>
          <w:sz w:val="20"/>
          <w:szCs w:val="20"/>
        </w:rPr>
        <w:t xml:space="preserve"> z hodnocení dopadů regulace</w:t>
      </w:r>
      <w:r>
        <w:rPr>
          <w:rFonts w:ascii="Arial" w:hAnsi="Arial" w:cs="Arial"/>
          <w:sz w:val="20"/>
          <w:szCs w:val="20"/>
        </w:rPr>
        <w:t xml:space="preserve">, který obsahuje u jednotlivých </w:t>
      </w:r>
      <w:r w:rsidR="0004666F">
        <w:rPr>
          <w:rFonts w:ascii="Arial" w:hAnsi="Arial" w:cs="Arial"/>
          <w:sz w:val="20"/>
          <w:szCs w:val="20"/>
        </w:rPr>
        <w:t>oblastí</w:t>
      </w:r>
      <w:r>
        <w:rPr>
          <w:rFonts w:ascii="Arial" w:hAnsi="Arial" w:cs="Arial"/>
          <w:sz w:val="20"/>
          <w:szCs w:val="20"/>
        </w:rPr>
        <w:t xml:space="preserve"> předpokládaných změn tzv. nulovou variantu popisující skutečný stav.</w:t>
      </w:r>
    </w:p>
    <w:p w:rsidR="00081C71" w:rsidRPr="007F3D2B" w:rsidRDefault="00081C71" w:rsidP="007F3D2B">
      <w:pPr>
        <w:pStyle w:val="Zkladntext"/>
        <w:spacing w:before="120" w:after="0" w:line="276" w:lineRule="auto"/>
        <w:jc w:val="both"/>
        <w:rPr>
          <w:rFonts w:ascii="Arial" w:hAnsi="Arial" w:cs="Arial"/>
          <w:sz w:val="20"/>
          <w:szCs w:val="20"/>
        </w:rPr>
      </w:pPr>
      <w:r>
        <w:rPr>
          <w:rFonts w:ascii="Arial" w:hAnsi="Arial" w:cs="Arial"/>
          <w:sz w:val="20"/>
          <w:szCs w:val="20"/>
        </w:rPr>
        <w:t xml:space="preserve">Současná </w:t>
      </w:r>
      <w:r w:rsidR="00233763">
        <w:rPr>
          <w:rFonts w:ascii="Arial" w:hAnsi="Arial" w:cs="Arial"/>
          <w:sz w:val="20"/>
          <w:szCs w:val="20"/>
        </w:rPr>
        <w:t xml:space="preserve">vnitrostátní </w:t>
      </w:r>
      <w:r>
        <w:rPr>
          <w:rFonts w:ascii="Arial" w:hAnsi="Arial" w:cs="Arial"/>
          <w:sz w:val="20"/>
          <w:szCs w:val="20"/>
        </w:rPr>
        <w:t>úprava</w:t>
      </w:r>
      <w:r w:rsidR="00233763">
        <w:rPr>
          <w:rFonts w:ascii="Arial" w:hAnsi="Arial" w:cs="Arial"/>
          <w:sz w:val="20"/>
          <w:szCs w:val="20"/>
        </w:rPr>
        <w:t xml:space="preserve"> je ve vztahu k zákazu diskriminace v souladu s legislativou Evropské unie.</w:t>
      </w:r>
    </w:p>
    <w:p w:rsidR="008356DE" w:rsidRPr="007F3D2B" w:rsidRDefault="00BB2277" w:rsidP="007F3D2B">
      <w:pPr>
        <w:pStyle w:val="Zkladntext"/>
        <w:spacing w:before="120" w:after="0" w:line="276" w:lineRule="auto"/>
        <w:jc w:val="both"/>
        <w:rPr>
          <w:rFonts w:ascii="Arial" w:hAnsi="Arial" w:cs="Arial"/>
          <w:sz w:val="20"/>
          <w:szCs w:val="20"/>
        </w:rPr>
      </w:pPr>
      <w:r w:rsidRPr="007F3D2B">
        <w:rPr>
          <w:rFonts w:ascii="Arial" w:hAnsi="Arial" w:cs="Arial"/>
          <w:sz w:val="20"/>
          <w:szCs w:val="20"/>
        </w:rPr>
        <w:t xml:space="preserve"> </w:t>
      </w:r>
    </w:p>
    <w:p w:rsidR="00DE783B" w:rsidRPr="007F3D2B" w:rsidRDefault="008D42E8" w:rsidP="007F3D2B">
      <w:pPr>
        <w:pStyle w:val="Zkladntext"/>
        <w:spacing w:before="120" w:after="0" w:line="276" w:lineRule="auto"/>
        <w:jc w:val="both"/>
        <w:rPr>
          <w:rFonts w:ascii="Arial" w:hAnsi="Arial" w:cs="Arial"/>
          <w:b/>
          <w:sz w:val="20"/>
          <w:szCs w:val="20"/>
        </w:rPr>
      </w:pPr>
      <w:r w:rsidRPr="007F3D2B">
        <w:rPr>
          <w:rFonts w:ascii="Arial" w:hAnsi="Arial" w:cs="Arial"/>
          <w:b/>
          <w:sz w:val="20"/>
          <w:szCs w:val="20"/>
        </w:rPr>
        <w:t>1.4</w:t>
      </w:r>
      <w:r w:rsidR="00DE783B" w:rsidRPr="007F3D2B">
        <w:rPr>
          <w:rFonts w:ascii="Arial" w:hAnsi="Arial" w:cs="Arial"/>
          <w:b/>
          <w:sz w:val="20"/>
          <w:szCs w:val="20"/>
        </w:rPr>
        <w:t>. Identifikace dotčených subjektů</w:t>
      </w:r>
    </w:p>
    <w:p w:rsidR="00FE09DE" w:rsidRPr="007F3D2B" w:rsidRDefault="00FE09DE" w:rsidP="007F3D2B">
      <w:pPr>
        <w:pStyle w:val="Zkladntext"/>
        <w:spacing w:before="120" w:after="0" w:line="276" w:lineRule="auto"/>
        <w:jc w:val="both"/>
        <w:rPr>
          <w:rFonts w:ascii="Arial" w:hAnsi="Arial" w:cs="Arial"/>
          <w:sz w:val="20"/>
          <w:szCs w:val="20"/>
        </w:rPr>
      </w:pPr>
      <w:r w:rsidRPr="007F3D2B">
        <w:rPr>
          <w:rFonts w:ascii="Arial" w:hAnsi="Arial" w:cs="Arial"/>
          <w:sz w:val="20"/>
          <w:szCs w:val="20"/>
        </w:rPr>
        <w:t>Dotčené</w:t>
      </w:r>
      <w:r w:rsidR="00DE783B" w:rsidRPr="007F3D2B">
        <w:rPr>
          <w:rFonts w:ascii="Arial" w:hAnsi="Arial" w:cs="Arial"/>
          <w:sz w:val="20"/>
          <w:szCs w:val="20"/>
        </w:rPr>
        <w:t xml:space="preserve"> subjekty představuj</w:t>
      </w:r>
      <w:r w:rsidR="00842B3C" w:rsidRPr="007F3D2B">
        <w:rPr>
          <w:rFonts w:ascii="Arial" w:hAnsi="Arial" w:cs="Arial"/>
          <w:sz w:val="20"/>
          <w:szCs w:val="20"/>
        </w:rPr>
        <w:t>í zadavatelé veřejných zakázek,</w:t>
      </w:r>
      <w:r w:rsidR="00DE783B" w:rsidRPr="007F3D2B">
        <w:rPr>
          <w:rFonts w:ascii="Arial" w:hAnsi="Arial" w:cs="Arial"/>
          <w:sz w:val="20"/>
          <w:szCs w:val="20"/>
        </w:rPr>
        <w:t xml:space="preserve"> </w:t>
      </w:r>
      <w:r w:rsidR="00842B3C" w:rsidRPr="007F3D2B">
        <w:rPr>
          <w:rFonts w:ascii="Arial" w:hAnsi="Arial" w:cs="Arial"/>
          <w:sz w:val="20"/>
          <w:szCs w:val="20"/>
        </w:rPr>
        <w:t>soukromé subjekty (</w:t>
      </w:r>
      <w:r w:rsidR="00DE783B" w:rsidRPr="007F3D2B">
        <w:rPr>
          <w:rFonts w:ascii="Arial" w:hAnsi="Arial" w:cs="Arial"/>
          <w:sz w:val="20"/>
          <w:szCs w:val="20"/>
        </w:rPr>
        <w:t>dodavatelé veřejných zakázek</w:t>
      </w:r>
      <w:r w:rsidR="00842B3C" w:rsidRPr="007F3D2B">
        <w:rPr>
          <w:rFonts w:ascii="Arial" w:hAnsi="Arial" w:cs="Arial"/>
          <w:sz w:val="20"/>
          <w:szCs w:val="20"/>
        </w:rPr>
        <w:t>, poradenské organizace)</w:t>
      </w:r>
      <w:r w:rsidR="00150A52" w:rsidRPr="007F3D2B">
        <w:rPr>
          <w:rFonts w:ascii="Arial" w:hAnsi="Arial" w:cs="Arial"/>
          <w:sz w:val="20"/>
          <w:szCs w:val="20"/>
        </w:rPr>
        <w:t>, orgány dohledu a ostatní</w:t>
      </w:r>
      <w:r w:rsidR="004D1E74" w:rsidRPr="007F3D2B">
        <w:rPr>
          <w:rFonts w:ascii="Arial" w:hAnsi="Arial" w:cs="Arial"/>
          <w:sz w:val="20"/>
          <w:szCs w:val="20"/>
        </w:rPr>
        <w:t>.</w:t>
      </w:r>
    </w:p>
    <w:p w:rsidR="00FE09DE" w:rsidRPr="007F3D2B" w:rsidRDefault="008561EB" w:rsidP="007F3D2B">
      <w:pPr>
        <w:pStyle w:val="Zkladntext"/>
        <w:spacing w:before="120" w:after="0" w:line="276" w:lineRule="auto"/>
        <w:jc w:val="both"/>
        <w:rPr>
          <w:rFonts w:ascii="Arial" w:hAnsi="Arial" w:cs="Arial"/>
          <w:sz w:val="20"/>
          <w:szCs w:val="20"/>
        </w:rPr>
      </w:pPr>
      <w:r w:rsidRPr="007F3D2B">
        <w:rPr>
          <w:rFonts w:ascii="Arial" w:hAnsi="Arial" w:cs="Arial"/>
          <w:sz w:val="20"/>
          <w:szCs w:val="20"/>
        </w:rPr>
        <w:t xml:space="preserve">A) </w:t>
      </w:r>
      <w:r w:rsidR="0074034B" w:rsidRPr="007F3D2B">
        <w:rPr>
          <w:rFonts w:ascii="Arial" w:hAnsi="Arial" w:cs="Arial"/>
          <w:sz w:val="20"/>
          <w:szCs w:val="20"/>
        </w:rPr>
        <w:t>Zadavateli veřejných zakázek jsou zadavatelé veřejní, dotovaní a sektorov</w:t>
      </w:r>
      <w:r w:rsidR="001E6FE6" w:rsidRPr="007F3D2B">
        <w:rPr>
          <w:rFonts w:ascii="Arial" w:hAnsi="Arial" w:cs="Arial"/>
          <w:sz w:val="20"/>
          <w:szCs w:val="20"/>
        </w:rPr>
        <w:t>í</w:t>
      </w:r>
      <w:r w:rsidR="0074034B" w:rsidRPr="007F3D2B">
        <w:rPr>
          <w:rFonts w:ascii="Arial" w:hAnsi="Arial" w:cs="Arial"/>
          <w:sz w:val="20"/>
          <w:szCs w:val="20"/>
        </w:rPr>
        <w:t>.</w:t>
      </w:r>
    </w:p>
    <w:p w:rsidR="008D64A9" w:rsidRPr="007F3D2B" w:rsidRDefault="00842B3C" w:rsidP="007F3D2B">
      <w:pPr>
        <w:spacing w:before="120" w:line="276" w:lineRule="auto"/>
        <w:rPr>
          <w:rFonts w:ascii="Arial" w:hAnsi="Arial" w:cs="Arial"/>
          <w:sz w:val="20"/>
          <w:szCs w:val="20"/>
        </w:rPr>
      </w:pPr>
      <w:r w:rsidRPr="007F3D2B">
        <w:rPr>
          <w:rFonts w:ascii="Arial" w:hAnsi="Arial" w:cs="Arial"/>
          <w:sz w:val="20"/>
          <w:szCs w:val="20"/>
        </w:rPr>
        <w:t>Veřejn</w:t>
      </w:r>
      <w:r w:rsidR="001E6FE6" w:rsidRPr="007F3D2B">
        <w:rPr>
          <w:rFonts w:ascii="Arial" w:hAnsi="Arial" w:cs="Arial"/>
          <w:sz w:val="20"/>
          <w:szCs w:val="20"/>
        </w:rPr>
        <w:t>ými</w:t>
      </w:r>
      <w:r w:rsidRPr="007F3D2B">
        <w:rPr>
          <w:rFonts w:ascii="Arial" w:hAnsi="Arial" w:cs="Arial"/>
          <w:sz w:val="20"/>
          <w:szCs w:val="20"/>
        </w:rPr>
        <w:t xml:space="preserve"> zadavatel</w:t>
      </w:r>
      <w:r w:rsidR="001E6FE6" w:rsidRPr="007F3D2B">
        <w:rPr>
          <w:rFonts w:ascii="Arial" w:hAnsi="Arial" w:cs="Arial"/>
          <w:sz w:val="20"/>
          <w:szCs w:val="20"/>
        </w:rPr>
        <w:t>i</w:t>
      </w:r>
      <w:r w:rsidR="001A1770" w:rsidRPr="007F3D2B">
        <w:rPr>
          <w:rFonts w:ascii="Arial" w:hAnsi="Arial" w:cs="Arial"/>
          <w:sz w:val="20"/>
          <w:szCs w:val="20"/>
        </w:rPr>
        <w:t xml:space="preserve"> jsou zejména</w:t>
      </w:r>
      <w:r w:rsidRPr="007F3D2B">
        <w:rPr>
          <w:rFonts w:ascii="Arial" w:hAnsi="Arial" w:cs="Arial"/>
          <w:sz w:val="20"/>
          <w:szCs w:val="20"/>
        </w:rPr>
        <w:t xml:space="preserve"> </w:t>
      </w:r>
    </w:p>
    <w:p w:rsidR="00842B3C" w:rsidRPr="007F3D2B" w:rsidRDefault="00842B3C" w:rsidP="007F3D2B">
      <w:pPr>
        <w:numPr>
          <w:ilvl w:val="0"/>
          <w:numId w:val="12"/>
        </w:numPr>
        <w:tabs>
          <w:tab w:val="num" w:pos="732"/>
        </w:tabs>
        <w:spacing w:before="120" w:line="276" w:lineRule="auto"/>
        <w:ind w:hanging="708"/>
        <w:jc w:val="both"/>
        <w:rPr>
          <w:rFonts w:ascii="Arial" w:hAnsi="Arial" w:cs="Arial"/>
          <w:sz w:val="20"/>
          <w:szCs w:val="20"/>
        </w:rPr>
      </w:pPr>
      <w:r w:rsidRPr="007F3D2B">
        <w:rPr>
          <w:rFonts w:ascii="Arial" w:hAnsi="Arial" w:cs="Arial"/>
          <w:sz w:val="20"/>
          <w:szCs w:val="20"/>
        </w:rPr>
        <w:t>Organizační složky státu</w:t>
      </w:r>
    </w:p>
    <w:p w:rsidR="00842B3C" w:rsidRPr="007F3D2B" w:rsidRDefault="00842B3C" w:rsidP="007F3D2B">
      <w:pPr>
        <w:numPr>
          <w:ilvl w:val="0"/>
          <w:numId w:val="12"/>
        </w:numPr>
        <w:tabs>
          <w:tab w:val="num" w:pos="732"/>
        </w:tabs>
        <w:spacing w:before="120" w:line="276" w:lineRule="auto"/>
        <w:ind w:hanging="708"/>
        <w:jc w:val="both"/>
        <w:rPr>
          <w:rFonts w:ascii="Arial" w:hAnsi="Arial" w:cs="Arial"/>
          <w:sz w:val="20"/>
          <w:szCs w:val="20"/>
        </w:rPr>
      </w:pPr>
      <w:r w:rsidRPr="007F3D2B">
        <w:rPr>
          <w:rFonts w:ascii="Arial" w:hAnsi="Arial" w:cs="Arial"/>
          <w:sz w:val="20"/>
          <w:szCs w:val="20"/>
        </w:rPr>
        <w:t>Státní účelové mimorozpočtové fondy</w:t>
      </w:r>
    </w:p>
    <w:p w:rsidR="00842B3C" w:rsidRPr="007F3D2B" w:rsidRDefault="00842B3C" w:rsidP="007F3D2B">
      <w:pPr>
        <w:numPr>
          <w:ilvl w:val="0"/>
          <w:numId w:val="12"/>
        </w:numPr>
        <w:tabs>
          <w:tab w:val="num" w:pos="732"/>
        </w:tabs>
        <w:spacing w:before="120" w:line="276" w:lineRule="auto"/>
        <w:ind w:hanging="708"/>
        <w:jc w:val="both"/>
        <w:rPr>
          <w:rFonts w:ascii="Arial" w:hAnsi="Arial" w:cs="Arial"/>
          <w:sz w:val="20"/>
          <w:szCs w:val="20"/>
        </w:rPr>
      </w:pPr>
      <w:r w:rsidRPr="007F3D2B">
        <w:rPr>
          <w:rFonts w:ascii="Arial" w:hAnsi="Arial" w:cs="Arial"/>
          <w:sz w:val="20"/>
          <w:szCs w:val="20"/>
        </w:rPr>
        <w:t>Příspěvkové organizace centrálně řízené</w:t>
      </w:r>
    </w:p>
    <w:p w:rsidR="00842B3C" w:rsidRPr="007F3D2B" w:rsidRDefault="00842B3C" w:rsidP="007F3D2B">
      <w:pPr>
        <w:numPr>
          <w:ilvl w:val="0"/>
          <w:numId w:val="12"/>
        </w:numPr>
        <w:tabs>
          <w:tab w:val="num" w:pos="732"/>
        </w:tabs>
        <w:spacing w:before="120" w:line="276" w:lineRule="auto"/>
        <w:ind w:hanging="708"/>
        <w:jc w:val="both"/>
        <w:rPr>
          <w:rFonts w:ascii="Arial" w:hAnsi="Arial" w:cs="Arial"/>
          <w:sz w:val="20"/>
          <w:szCs w:val="20"/>
        </w:rPr>
      </w:pPr>
      <w:r w:rsidRPr="007F3D2B">
        <w:rPr>
          <w:rFonts w:ascii="Arial" w:hAnsi="Arial" w:cs="Arial"/>
          <w:sz w:val="20"/>
          <w:szCs w:val="20"/>
        </w:rPr>
        <w:t>Veřejné vysoké školy</w:t>
      </w:r>
    </w:p>
    <w:p w:rsidR="00842B3C" w:rsidRPr="007F3D2B" w:rsidRDefault="00842B3C" w:rsidP="007F3D2B">
      <w:pPr>
        <w:numPr>
          <w:ilvl w:val="0"/>
          <w:numId w:val="12"/>
        </w:numPr>
        <w:tabs>
          <w:tab w:val="num" w:pos="732"/>
        </w:tabs>
        <w:spacing w:before="120" w:line="276" w:lineRule="auto"/>
        <w:ind w:hanging="708"/>
        <w:jc w:val="both"/>
        <w:rPr>
          <w:rFonts w:ascii="Arial" w:hAnsi="Arial" w:cs="Arial"/>
          <w:sz w:val="20"/>
          <w:szCs w:val="20"/>
        </w:rPr>
      </w:pPr>
      <w:r w:rsidRPr="007F3D2B">
        <w:rPr>
          <w:rFonts w:ascii="Arial" w:hAnsi="Arial" w:cs="Arial"/>
          <w:sz w:val="20"/>
          <w:szCs w:val="20"/>
        </w:rPr>
        <w:t>Kraje, obce a dobrovolná sdružení obcí</w:t>
      </w:r>
    </w:p>
    <w:p w:rsidR="00842B3C" w:rsidRPr="007F3D2B" w:rsidRDefault="00842B3C" w:rsidP="007F3D2B">
      <w:pPr>
        <w:numPr>
          <w:ilvl w:val="0"/>
          <w:numId w:val="12"/>
        </w:numPr>
        <w:tabs>
          <w:tab w:val="num" w:pos="732"/>
        </w:tabs>
        <w:spacing w:before="120" w:line="276" w:lineRule="auto"/>
        <w:ind w:hanging="708"/>
        <w:jc w:val="both"/>
        <w:rPr>
          <w:rFonts w:ascii="Arial" w:hAnsi="Arial" w:cs="Arial"/>
          <w:sz w:val="20"/>
          <w:szCs w:val="20"/>
        </w:rPr>
      </w:pPr>
      <w:r w:rsidRPr="007F3D2B">
        <w:rPr>
          <w:rFonts w:ascii="Arial" w:hAnsi="Arial" w:cs="Arial"/>
          <w:sz w:val="20"/>
          <w:szCs w:val="20"/>
        </w:rPr>
        <w:t>Příspěvkové organizace místně řízené</w:t>
      </w:r>
    </w:p>
    <w:p w:rsidR="00842B3C" w:rsidRPr="007F3D2B" w:rsidRDefault="00842B3C" w:rsidP="007F3D2B">
      <w:pPr>
        <w:numPr>
          <w:ilvl w:val="0"/>
          <w:numId w:val="12"/>
        </w:numPr>
        <w:tabs>
          <w:tab w:val="num" w:pos="732"/>
        </w:tabs>
        <w:spacing w:before="120" w:line="276" w:lineRule="auto"/>
        <w:ind w:hanging="708"/>
        <w:jc w:val="both"/>
        <w:rPr>
          <w:rFonts w:ascii="Arial" w:hAnsi="Arial" w:cs="Arial"/>
          <w:sz w:val="20"/>
          <w:szCs w:val="20"/>
        </w:rPr>
      </w:pPr>
      <w:r w:rsidRPr="007F3D2B">
        <w:rPr>
          <w:rFonts w:ascii="Arial" w:hAnsi="Arial" w:cs="Arial"/>
          <w:sz w:val="20"/>
          <w:szCs w:val="20"/>
        </w:rPr>
        <w:t>Fondy sociálního zabezpečení</w:t>
      </w:r>
    </w:p>
    <w:p w:rsidR="00842B3C" w:rsidRPr="007F3D2B" w:rsidRDefault="00842B3C" w:rsidP="007F3D2B">
      <w:pPr>
        <w:numPr>
          <w:ilvl w:val="0"/>
          <w:numId w:val="12"/>
        </w:numPr>
        <w:tabs>
          <w:tab w:val="num" w:pos="732"/>
        </w:tabs>
        <w:spacing w:before="120" w:line="276" w:lineRule="auto"/>
        <w:ind w:hanging="708"/>
        <w:jc w:val="both"/>
        <w:rPr>
          <w:rFonts w:ascii="Arial" w:hAnsi="Arial" w:cs="Arial"/>
          <w:sz w:val="20"/>
          <w:szCs w:val="20"/>
        </w:rPr>
      </w:pPr>
      <w:r w:rsidRPr="007F3D2B">
        <w:rPr>
          <w:rFonts w:ascii="Arial" w:hAnsi="Arial" w:cs="Arial"/>
          <w:sz w:val="20"/>
          <w:szCs w:val="20"/>
        </w:rPr>
        <w:t>Zdravotní pojišťovny</w:t>
      </w:r>
    </w:p>
    <w:p w:rsidR="00842B3C" w:rsidRPr="007F3D2B" w:rsidRDefault="00842B3C" w:rsidP="007F3D2B">
      <w:pPr>
        <w:autoSpaceDE w:val="0"/>
        <w:autoSpaceDN w:val="0"/>
        <w:adjustRightInd w:val="0"/>
        <w:spacing w:before="120" w:line="276" w:lineRule="auto"/>
        <w:jc w:val="both"/>
        <w:rPr>
          <w:rFonts w:ascii="Arial" w:hAnsi="Arial" w:cs="Arial"/>
          <w:sz w:val="20"/>
          <w:szCs w:val="20"/>
        </w:rPr>
      </w:pPr>
    </w:p>
    <w:p w:rsidR="00842B3C" w:rsidRPr="007F3D2B" w:rsidRDefault="00842B3C" w:rsidP="007F3D2B">
      <w:pPr>
        <w:autoSpaceDE w:val="0"/>
        <w:autoSpaceDN w:val="0"/>
        <w:adjustRightInd w:val="0"/>
        <w:spacing w:before="120" w:line="276" w:lineRule="auto"/>
        <w:jc w:val="both"/>
        <w:rPr>
          <w:rFonts w:ascii="Arial" w:hAnsi="Arial" w:cs="Arial"/>
          <w:sz w:val="20"/>
          <w:szCs w:val="20"/>
        </w:rPr>
      </w:pPr>
      <w:r w:rsidRPr="007F3D2B">
        <w:rPr>
          <w:rFonts w:ascii="Arial" w:hAnsi="Arial" w:cs="Arial"/>
          <w:sz w:val="20"/>
          <w:szCs w:val="20"/>
        </w:rPr>
        <w:t xml:space="preserve">Dle odhadu předkladatele se </w:t>
      </w:r>
      <w:r w:rsidR="00730EDB" w:rsidRPr="007F3D2B">
        <w:rPr>
          <w:rFonts w:ascii="Arial" w:hAnsi="Arial" w:cs="Arial"/>
          <w:sz w:val="20"/>
          <w:szCs w:val="20"/>
        </w:rPr>
        <w:t>věcný záměr</w:t>
      </w:r>
      <w:r w:rsidR="002B16EF" w:rsidRPr="007F3D2B">
        <w:rPr>
          <w:rFonts w:ascii="Arial" w:hAnsi="Arial" w:cs="Arial"/>
          <w:sz w:val="20"/>
          <w:szCs w:val="20"/>
        </w:rPr>
        <w:t xml:space="preserve"> </w:t>
      </w:r>
      <w:r w:rsidRPr="007F3D2B">
        <w:rPr>
          <w:rFonts w:ascii="Arial" w:hAnsi="Arial" w:cs="Arial"/>
          <w:sz w:val="20"/>
          <w:szCs w:val="20"/>
        </w:rPr>
        <w:t>přímo dotkne 18 000 fyzických osob na straně zadavatelů – převážně zaměstnanců zadavatele. Odhad je postaven na faktu, že oblastí veřejného investování se v různých organizacích zabývá rozdílný počet osob. Např. na jednotlivých ministerstvech to mohou být řádově desítky osob, naopak v malých obcích pouze jeden pracovník.</w:t>
      </w:r>
    </w:p>
    <w:p w:rsidR="00842B3C" w:rsidRPr="007F3D2B" w:rsidRDefault="00842B3C" w:rsidP="007F3D2B">
      <w:pPr>
        <w:keepNext/>
        <w:spacing w:before="120" w:line="276" w:lineRule="auto"/>
        <w:jc w:val="both"/>
        <w:rPr>
          <w:rFonts w:ascii="Arial" w:hAnsi="Arial" w:cs="Arial"/>
          <w:sz w:val="20"/>
          <w:szCs w:val="20"/>
        </w:rPr>
      </w:pPr>
      <w:r w:rsidRPr="007F3D2B">
        <w:rPr>
          <w:rFonts w:ascii="Arial" w:hAnsi="Arial" w:cs="Arial"/>
          <w:sz w:val="20"/>
          <w:szCs w:val="20"/>
        </w:rPr>
        <w:t>Dotovaní zadavatelé</w:t>
      </w:r>
    </w:p>
    <w:p w:rsidR="00994C8D" w:rsidRPr="007F3D2B" w:rsidRDefault="00994C8D" w:rsidP="007F3D2B">
      <w:pPr>
        <w:spacing w:before="120" w:line="276" w:lineRule="auto"/>
        <w:jc w:val="both"/>
        <w:rPr>
          <w:rFonts w:ascii="Arial" w:hAnsi="Arial" w:cs="Arial"/>
          <w:sz w:val="20"/>
          <w:szCs w:val="20"/>
        </w:rPr>
      </w:pPr>
      <w:r w:rsidRPr="007F3D2B">
        <w:rPr>
          <w:rFonts w:ascii="Arial" w:hAnsi="Arial" w:cs="Arial"/>
          <w:sz w:val="20"/>
          <w:szCs w:val="20"/>
        </w:rPr>
        <w:t>Mezi dotované zadavatele lze zařadit kterýkoliv subjekt splňující zdola uvedené podmínky. Vzhledem k tomu, že okruh dotovaných zadavatelů je široký, můžeme jako příklad dotovaných zadavatelů uvést církev, korporace, fyzické osoby, a to jak podnikatele, tak nepodnikatele.</w:t>
      </w:r>
    </w:p>
    <w:p w:rsidR="007E07E6" w:rsidRPr="007F3D2B" w:rsidRDefault="007E07E6" w:rsidP="007F3D2B">
      <w:pPr>
        <w:spacing w:before="120" w:line="276" w:lineRule="auto"/>
        <w:jc w:val="both"/>
        <w:rPr>
          <w:rFonts w:ascii="Arial" w:hAnsi="Arial" w:cs="Arial"/>
          <w:sz w:val="20"/>
          <w:szCs w:val="20"/>
        </w:rPr>
      </w:pPr>
      <w:r w:rsidRPr="007F3D2B">
        <w:rPr>
          <w:rFonts w:ascii="Arial" w:hAnsi="Arial" w:cs="Arial"/>
          <w:sz w:val="20"/>
          <w:szCs w:val="20"/>
        </w:rPr>
        <w:lastRenderedPageBreak/>
        <w:t>Dotovaný zadavatel je dle textu ZVZ subjekt zadávající veřejnou zakázku hrazenou z více než 50 % z peněžních prostředků z veřejných zdrojů nebo pokud peněžní prostředky poskytnuté na veřejnou zakázku z těchto zdrojů přesahují 200 000 000 Kč.</w:t>
      </w:r>
    </w:p>
    <w:p w:rsidR="00842B3C" w:rsidRPr="007F3D2B" w:rsidRDefault="00842B3C" w:rsidP="007F3D2B">
      <w:pPr>
        <w:spacing w:before="120" w:line="276" w:lineRule="auto"/>
        <w:jc w:val="both"/>
        <w:rPr>
          <w:rFonts w:ascii="Arial" w:hAnsi="Arial" w:cs="Arial"/>
          <w:sz w:val="20"/>
          <w:szCs w:val="20"/>
        </w:rPr>
      </w:pPr>
      <w:r w:rsidRPr="007F3D2B">
        <w:rPr>
          <w:rFonts w:ascii="Arial" w:hAnsi="Arial" w:cs="Arial"/>
          <w:sz w:val="20"/>
          <w:szCs w:val="20"/>
        </w:rPr>
        <w:t xml:space="preserve">Sektoroví zadavatelé </w:t>
      </w:r>
    </w:p>
    <w:p w:rsidR="00994C8D" w:rsidRPr="007F3D2B" w:rsidRDefault="00994C8D" w:rsidP="007F3D2B">
      <w:pPr>
        <w:spacing w:before="120" w:line="276" w:lineRule="auto"/>
        <w:jc w:val="both"/>
        <w:rPr>
          <w:rFonts w:ascii="Arial" w:hAnsi="Arial" w:cs="Arial"/>
          <w:sz w:val="20"/>
          <w:szCs w:val="20"/>
        </w:rPr>
      </w:pPr>
      <w:r w:rsidRPr="007F3D2B">
        <w:rPr>
          <w:rFonts w:ascii="Arial" w:hAnsi="Arial" w:cs="Arial"/>
          <w:sz w:val="20"/>
          <w:szCs w:val="20"/>
        </w:rPr>
        <w:t>Za sektorové zadavatele lze považovat subjekty, které splňují podmínky § 2 odst. 5 ZVZ. Důležitým faktorem je v případě sektorových zadavatelů vymezení relevantních činností. Relevantní činnosti jsou zakotveny v současné úpravě, přičemž nový zákon o veřejných zakázkách bude tyto činnosti definovat tak, aby byly v souladu se směrnicemi. Směrnicemi také došlo ke konkretizaci výhradních a zvláštních práv čím</w:t>
      </w:r>
      <w:r w:rsidR="008561EB">
        <w:rPr>
          <w:rFonts w:ascii="Arial" w:hAnsi="Arial" w:cs="Arial"/>
          <w:sz w:val="20"/>
          <w:szCs w:val="20"/>
        </w:rPr>
        <w:t>ž</w:t>
      </w:r>
      <w:r w:rsidRPr="007F3D2B">
        <w:rPr>
          <w:rFonts w:ascii="Arial" w:hAnsi="Arial" w:cs="Arial"/>
          <w:sz w:val="20"/>
          <w:szCs w:val="20"/>
        </w:rPr>
        <w:t xml:space="preserve"> se zúží okruh soukromých subjektů, které budou naplňovat definici sektorové</w:t>
      </w:r>
      <w:r w:rsidR="008561EB">
        <w:rPr>
          <w:rFonts w:ascii="Arial" w:hAnsi="Arial" w:cs="Arial"/>
          <w:sz w:val="20"/>
          <w:szCs w:val="20"/>
        </w:rPr>
        <w:t>ho</w:t>
      </w:r>
      <w:r w:rsidRPr="007F3D2B">
        <w:rPr>
          <w:rFonts w:ascii="Arial" w:hAnsi="Arial" w:cs="Arial"/>
          <w:sz w:val="20"/>
          <w:szCs w:val="20"/>
        </w:rPr>
        <w:t xml:space="preserve"> zadavatele. </w:t>
      </w:r>
    </w:p>
    <w:p w:rsidR="00974D6B" w:rsidRPr="007F3D2B" w:rsidRDefault="00994C8D" w:rsidP="007F3D2B">
      <w:pPr>
        <w:spacing w:before="120" w:line="276" w:lineRule="auto"/>
        <w:jc w:val="both"/>
        <w:rPr>
          <w:rFonts w:ascii="Arial" w:hAnsi="Arial" w:cs="Arial"/>
          <w:sz w:val="20"/>
          <w:szCs w:val="20"/>
        </w:rPr>
      </w:pPr>
      <w:r w:rsidRPr="007F3D2B">
        <w:rPr>
          <w:rFonts w:ascii="Arial" w:hAnsi="Arial" w:cs="Arial"/>
          <w:sz w:val="20"/>
          <w:szCs w:val="20"/>
        </w:rPr>
        <w:t>Obecně lze k zadavatelům dále říci, že z </w:t>
      </w:r>
      <w:r w:rsidRPr="007F3D2B" w:rsidDel="00994C8D">
        <w:rPr>
          <w:rFonts w:ascii="Arial" w:hAnsi="Arial" w:cs="Arial"/>
          <w:sz w:val="20"/>
          <w:szCs w:val="20"/>
        </w:rPr>
        <w:t xml:space="preserve"> </w:t>
      </w:r>
      <w:r w:rsidR="00BA6EAF" w:rsidRPr="007F3D2B">
        <w:rPr>
          <w:rFonts w:ascii="Arial" w:hAnsi="Arial" w:cs="Arial"/>
          <w:sz w:val="20"/>
          <w:szCs w:val="20"/>
        </w:rPr>
        <w:t xml:space="preserve">analýzy statistických dat z Informačního systému o veřejných zakázkách vyplývá, že v roce 2013 </w:t>
      </w:r>
      <w:r w:rsidR="00F63742" w:rsidRPr="007F3D2B">
        <w:rPr>
          <w:rFonts w:ascii="Arial" w:hAnsi="Arial" w:cs="Arial"/>
          <w:sz w:val="20"/>
          <w:szCs w:val="20"/>
        </w:rPr>
        <w:t>zadalo</w:t>
      </w:r>
      <w:r w:rsidR="00BA6EAF" w:rsidRPr="007F3D2B">
        <w:rPr>
          <w:rFonts w:ascii="Arial" w:hAnsi="Arial" w:cs="Arial"/>
          <w:sz w:val="20"/>
          <w:szCs w:val="20"/>
        </w:rPr>
        <w:t xml:space="preserve"> přibližně 3 500 zadavatelů </w:t>
      </w:r>
      <w:r w:rsidR="008561EB">
        <w:rPr>
          <w:rFonts w:ascii="Arial" w:hAnsi="Arial" w:cs="Arial"/>
          <w:sz w:val="20"/>
          <w:szCs w:val="20"/>
        </w:rPr>
        <w:t xml:space="preserve">zhruba 16 </w:t>
      </w:r>
      <w:r w:rsidR="003E5B5D" w:rsidRPr="007F3D2B">
        <w:rPr>
          <w:rFonts w:ascii="Arial" w:hAnsi="Arial" w:cs="Arial"/>
          <w:sz w:val="20"/>
          <w:szCs w:val="20"/>
        </w:rPr>
        <w:t xml:space="preserve">000 </w:t>
      </w:r>
      <w:r w:rsidR="00F63742" w:rsidRPr="007F3D2B">
        <w:rPr>
          <w:rFonts w:ascii="Arial" w:hAnsi="Arial" w:cs="Arial"/>
          <w:sz w:val="20"/>
          <w:szCs w:val="20"/>
        </w:rPr>
        <w:t>veřejných</w:t>
      </w:r>
      <w:r w:rsidR="00166D63" w:rsidRPr="007F3D2B">
        <w:rPr>
          <w:rFonts w:ascii="Arial" w:hAnsi="Arial" w:cs="Arial"/>
          <w:sz w:val="20"/>
          <w:szCs w:val="20"/>
        </w:rPr>
        <w:t xml:space="preserve"> zakázek</w:t>
      </w:r>
      <w:r w:rsidR="00BA6EAF" w:rsidRPr="007F3D2B">
        <w:rPr>
          <w:rFonts w:ascii="Arial" w:hAnsi="Arial" w:cs="Arial"/>
          <w:sz w:val="20"/>
          <w:szCs w:val="20"/>
        </w:rPr>
        <w:t>.</w:t>
      </w:r>
      <w:r w:rsidR="00AD165D" w:rsidRPr="007F3D2B">
        <w:rPr>
          <w:rFonts w:ascii="Arial" w:hAnsi="Arial" w:cs="Arial"/>
          <w:sz w:val="20"/>
          <w:szCs w:val="20"/>
        </w:rPr>
        <w:t xml:space="preserve"> </w:t>
      </w:r>
      <w:r w:rsidR="00B233F5" w:rsidRPr="007F3D2B">
        <w:rPr>
          <w:rFonts w:ascii="Arial" w:hAnsi="Arial" w:cs="Arial"/>
          <w:sz w:val="20"/>
          <w:szCs w:val="20"/>
        </w:rPr>
        <w:t>Vývoj těchto údajů za poslední roky je rostoucí, avšak</w:t>
      </w:r>
      <w:r w:rsidR="00F63742" w:rsidRPr="007F3D2B">
        <w:rPr>
          <w:rFonts w:ascii="Arial" w:hAnsi="Arial" w:cs="Arial"/>
          <w:sz w:val="20"/>
          <w:szCs w:val="20"/>
        </w:rPr>
        <w:t xml:space="preserve"> samotný</w:t>
      </w:r>
      <w:r w:rsidR="00B233F5" w:rsidRPr="007F3D2B">
        <w:rPr>
          <w:rFonts w:ascii="Arial" w:hAnsi="Arial" w:cs="Arial"/>
          <w:sz w:val="20"/>
          <w:szCs w:val="20"/>
        </w:rPr>
        <w:t xml:space="preserve"> rok 2013 je poměrně výjimečný, neboť se plně projevily důsledk</w:t>
      </w:r>
      <w:r w:rsidR="00F63742" w:rsidRPr="007F3D2B">
        <w:rPr>
          <w:rFonts w:ascii="Arial" w:hAnsi="Arial" w:cs="Arial"/>
          <w:sz w:val="20"/>
          <w:szCs w:val="20"/>
        </w:rPr>
        <w:t>y tzv. transparentní novely ZVZ</w:t>
      </w:r>
      <w:r w:rsidR="00166D63" w:rsidRPr="007F3D2B">
        <w:rPr>
          <w:rFonts w:ascii="Arial" w:hAnsi="Arial" w:cs="Arial"/>
          <w:sz w:val="20"/>
          <w:szCs w:val="20"/>
        </w:rPr>
        <w:t xml:space="preserve"> (zákon č. 55/2012 Sb.)</w:t>
      </w:r>
      <w:r w:rsidR="00F63742" w:rsidRPr="007F3D2B">
        <w:rPr>
          <w:rFonts w:ascii="Arial" w:hAnsi="Arial" w:cs="Arial"/>
          <w:sz w:val="20"/>
          <w:szCs w:val="20"/>
        </w:rPr>
        <w:t>. Projevilo se zejména</w:t>
      </w:r>
      <w:r w:rsidR="00B233F5" w:rsidRPr="007F3D2B">
        <w:rPr>
          <w:rFonts w:ascii="Arial" w:hAnsi="Arial" w:cs="Arial"/>
          <w:sz w:val="20"/>
          <w:szCs w:val="20"/>
        </w:rPr>
        <w:t xml:space="preserve"> rozšíření </w:t>
      </w:r>
      <w:r w:rsidR="00F63742" w:rsidRPr="007F3D2B">
        <w:rPr>
          <w:rFonts w:ascii="Arial" w:hAnsi="Arial" w:cs="Arial"/>
          <w:sz w:val="20"/>
          <w:szCs w:val="20"/>
        </w:rPr>
        <w:t>okruhu osob zadavatelů</w:t>
      </w:r>
      <w:r w:rsidR="00B233F5" w:rsidRPr="007F3D2B">
        <w:rPr>
          <w:rFonts w:ascii="Arial" w:hAnsi="Arial" w:cs="Arial"/>
          <w:sz w:val="20"/>
          <w:szCs w:val="20"/>
        </w:rPr>
        <w:t xml:space="preserve"> (např. dotovaní zadavatelé)</w:t>
      </w:r>
      <w:r w:rsidR="00F63742" w:rsidRPr="007F3D2B">
        <w:rPr>
          <w:rFonts w:ascii="Arial" w:hAnsi="Arial" w:cs="Arial"/>
          <w:sz w:val="20"/>
          <w:szCs w:val="20"/>
        </w:rPr>
        <w:t xml:space="preserve"> a</w:t>
      </w:r>
      <w:r w:rsidR="00B233F5" w:rsidRPr="007F3D2B">
        <w:rPr>
          <w:rFonts w:ascii="Arial" w:hAnsi="Arial" w:cs="Arial"/>
          <w:sz w:val="20"/>
          <w:szCs w:val="20"/>
        </w:rPr>
        <w:t xml:space="preserve"> rozšíření počtu zakázek, které musí být zadávány v zadávacím řízení (změna limitů). Pro srovnání uvádíme, že v roce 2012 přibližně </w:t>
      </w:r>
      <w:r w:rsidR="00E10928" w:rsidRPr="007F3D2B">
        <w:rPr>
          <w:rFonts w:ascii="Arial" w:hAnsi="Arial" w:cs="Arial"/>
          <w:sz w:val="20"/>
          <w:szCs w:val="20"/>
        </w:rPr>
        <w:t>2</w:t>
      </w:r>
      <w:r w:rsidR="00F63742" w:rsidRPr="007F3D2B">
        <w:rPr>
          <w:rFonts w:ascii="Arial" w:hAnsi="Arial" w:cs="Arial"/>
          <w:sz w:val="20"/>
          <w:szCs w:val="20"/>
        </w:rPr>
        <w:t> </w:t>
      </w:r>
      <w:r w:rsidR="00B233F5" w:rsidRPr="007F3D2B">
        <w:rPr>
          <w:rFonts w:ascii="Arial" w:hAnsi="Arial" w:cs="Arial"/>
          <w:sz w:val="20"/>
          <w:szCs w:val="20"/>
        </w:rPr>
        <w:t>000 zadavatelů</w:t>
      </w:r>
      <w:r w:rsidR="00E10928" w:rsidRPr="007F3D2B">
        <w:rPr>
          <w:rFonts w:ascii="Arial" w:hAnsi="Arial" w:cs="Arial"/>
          <w:sz w:val="20"/>
          <w:szCs w:val="20"/>
        </w:rPr>
        <w:t xml:space="preserve"> </w:t>
      </w:r>
      <w:r w:rsidR="00F63742" w:rsidRPr="007F3D2B">
        <w:rPr>
          <w:rFonts w:ascii="Arial" w:hAnsi="Arial" w:cs="Arial"/>
          <w:sz w:val="20"/>
          <w:szCs w:val="20"/>
        </w:rPr>
        <w:t xml:space="preserve">zadalo </w:t>
      </w:r>
      <w:r w:rsidR="00E10928" w:rsidRPr="007F3D2B">
        <w:rPr>
          <w:rFonts w:ascii="Arial" w:hAnsi="Arial" w:cs="Arial"/>
          <w:sz w:val="20"/>
          <w:szCs w:val="20"/>
        </w:rPr>
        <w:t>kolem 11</w:t>
      </w:r>
      <w:r w:rsidR="00F63742" w:rsidRPr="007F3D2B">
        <w:rPr>
          <w:rFonts w:ascii="Arial" w:hAnsi="Arial" w:cs="Arial"/>
          <w:sz w:val="20"/>
          <w:szCs w:val="20"/>
        </w:rPr>
        <w:t> </w:t>
      </w:r>
      <w:r w:rsidR="00E10928" w:rsidRPr="007F3D2B">
        <w:rPr>
          <w:rFonts w:ascii="Arial" w:hAnsi="Arial" w:cs="Arial"/>
          <w:sz w:val="20"/>
          <w:szCs w:val="20"/>
        </w:rPr>
        <w:t>000</w:t>
      </w:r>
      <w:r w:rsidR="00F63742" w:rsidRPr="007F3D2B">
        <w:rPr>
          <w:rFonts w:ascii="Arial" w:hAnsi="Arial" w:cs="Arial"/>
          <w:sz w:val="20"/>
          <w:szCs w:val="20"/>
        </w:rPr>
        <w:t xml:space="preserve"> veřejných zakázek</w:t>
      </w:r>
      <w:r w:rsidR="00E10928" w:rsidRPr="007F3D2B">
        <w:rPr>
          <w:rFonts w:ascii="Arial" w:hAnsi="Arial" w:cs="Arial"/>
          <w:sz w:val="20"/>
          <w:szCs w:val="20"/>
        </w:rPr>
        <w:t>.</w:t>
      </w:r>
      <w:r w:rsidR="00155522" w:rsidRPr="007F3D2B">
        <w:rPr>
          <w:rFonts w:ascii="Arial" w:hAnsi="Arial" w:cs="Arial"/>
          <w:sz w:val="20"/>
          <w:szCs w:val="20"/>
        </w:rPr>
        <w:t xml:space="preserve"> </w:t>
      </w:r>
      <w:r w:rsidR="00F63742" w:rsidRPr="007F3D2B">
        <w:rPr>
          <w:rFonts w:ascii="Arial" w:hAnsi="Arial" w:cs="Arial"/>
          <w:sz w:val="20"/>
          <w:szCs w:val="20"/>
        </w:rPr>
        <w:t>I přesto jsou n</w:t>
      </w:r>
      <w:r w:rsidR="00155522" w:rsidRPr="007F3D2B">
        <w:rPr>
          <w:rFonts w:ascii="Arial" w:hAnsi="Arial" w:cs="Arial"/>
          <w:sz w:val="20"/>
          <w:szCs w:val="20"/>
        </w:rPr>
        <w:t>íže uved</w:t>
      </w:r>
      <w:r w:rsidR="00F63742" w:rsidRPr="007F3D2B">
        <w:rPr>
          <w:rFonts w:ascii="Arial" w:hAnsi="Arial" w:cs="Arial"/>
          <w:sz w:val="20"/>
          <w:szCs w:val="20"/>
        </w:rPr>
        <w:t xml:space="preserve">ená procentuální vyjádření </w:t>
      </w:r>
      <w:r w:rsidR="00155522" w:rsidRPr="007F3D2B">
        <w:rPr>
          <w:rFonts w:ascii="Arial" w:hAnsi="Arial" w:cs="Arial"/>
          <w:sz w:val="20"/>
          <w:szCs w:val="20"/>
        </w:rPr>
        <w:t>stabilního charakteru.</w:t>
      </w:r>
    </w:p>
    <w:p w:rsidR="00974D6B" w:rsidRPr="007F3D2B" w:rsidRDefault="00B233F5" w:rsidP="007F3D2B">
      <w:pPr>
        <w:spacing w:before="120" w:line="276" w:lineRule="auto"/>
        <w:jc w:val="both"/>
        <w:rPr>
          <w:rFonts w:ascii="Arial" w:hAnsi="Arial" w:cs="Arial"/>
          <w:sz w:val="20"/>
          <w:szCs w:val="20"/>
        </w:rPr>
      </w:pPr>
      <w:r w:rsidRPr="007F3D2B">
        <w:rPr>
          <w:rFonts w:ascii="Arial" w:hAnsi="Arial" w:cs="Arial"/>
          <w:sz w:val="20"/>
          <w:szCs w:val="20"/>
        </w:rPr>
        <w:t xml:space="preserve">  </w:t>
      </w:r>
    </w:p>
    <w:p w:rsidR="00974D6B" w:rsidRPr="007F3D2B" w:rsidRDefault="00155522" w:rsidP="007F3D2B">
      <w:pPr>
        <w:spacing w:before="120" w:line="276" w:lineRule="auto"/>
        <w:jc w:val="both"/>
        <w:rPr>
          <w:rFonts w:ascii="Arial" w:hAnsi="Arial" w:cs="Arial"/>
          <w:sz w:val="20"/>
          <w:szCs w:val="20"/>
        </w:rPr>
      </w:pPr>
      <w:r w:rsidRPr="007F3D2B">
        <w:rPr>
          <w:rFonts w:ascii="Arial" w:hAnsi="Arial" w:cs="Arial"/>
          <w:sz w:val="20"/>
          <w:szCs w:val="20"/>
        </w:rPr>
        <w:t>Více než 70</w:t>
      </w:r>
      <w:r w:rsidR="00166D63" w:rsidRPr="007F3D2B">
        <w:rPr>
          <w:rFonts w:ascii="Arial" w:hAnsi="Arial" w:cs="Arial"/>
          <w:sz w:val="20"/>
          <w:szCs w:val="20"/>
        </w:rPr>
        <w:t xml:space="preserve"> </w:t>
      </w:r>
      <w:r w:rsidRPr="007F3D2B">
        <w:rPr>
          <w:rFonts w:ascii="Arial" w:hAnsi="Arial" w:cs="Arial"/>
          <w:sz w:val="20"/>
          <w:szCs w:val="20"/>
        </w:rPr>
        <w:t>% z celkového počtu</w:t>
      </w:r>
      <w:r w:rsidR="003E5B5D" w:rsidRPr="007F3D2B">
        <w:rPr>
          <w:rFonts w:ascii="Arial" w:hAnsi="Arial" w:cs="Arial"/>
          <w:sz w:val="20"/>
          <w:szCs w:val="20"/>
        </w:rPr>
        <w:t xml:space="preserve"> </w:t>
      </w:r>
      <w:r w:rsidRPr="007F3D2B">
        <w:rPr>
          <w:rFonts w:ascii="Arial" w:hAnsi="Arial" w:cs="Arial"/>
          <w:sz w:val="20"/>
          <w:szCs w:val="20"/>
        </w:rPr>
        <w:t xml:space="preserve">zadavatelů </w:t>
      </w:r>
      <w:r w:rsidR="00F63742" w:rsidRPr="007F3D2B">
        <w:rPr>
          <w:rFonts w:ascii="Arial" w:hAnsi="Arial" w:cs="Arial"/>
          <w:sz w:val="20"/>
          <w:szCs w:val="20"/>
        </w:rPr>
        <w:t>zadalo v roce 2013</w:t>
      </w:r>
      <w:r w:rsidRPr="007F3D2B">
        <w:rPr>
          <w:rFonts w:ascii="Arial" w:hAnsi="Arial" w:cs="Arial"/>
          <w:sz w:val="20"/>
          <w:szCs w:val="20"/>
        </w:rPr>
        <w:t xml:space="preserve"> </w:t>
      </w:r>
      <w:r w:rsidR="003E5B5D" w:rsidRPr="007F3D2B">
        <w:rPr>
          <w:rFonts w:ascii="Arial" w:hAnsi="Arial" w:cs="Arial"/>
          <w:sz w:val="20"/>
          <w:szCs w:val="20"/>
        </w:rPr>
        <w:t>pouze 1 nebo 2 veřejné zakázky</w:t>
      </w:r>
      <w:r w:rsidRPr="007F3D2B">
        <w:rPr>
          <w:rFonts w:ascii="Arial" w:hAnsi="Arial" w:cs="Arial"/>
          <w:sz w:val="20"/>
          <w:szCs w:val="20"/>
        </w:rPr>
        <w:t>. Takto zadané zakázky</w:t>
      </w:r>
      <w:r w:rsidR="00334394" w:rsidRPr="007F3D2B">
        <w:rPr>
          <w:rFonts w:ascii="Arial" w:hAnsi="Arial" w:cs="Arial"/>
          <w:sz w:val="20"/>
          <w:szCs w:val="20"/>
        </w:rPr>
        <w:t xml:space="preserve"> </w:t>
      </w:r>
      <w:r w:rsidRPr="007F3D2B">
        <w:rPr>
          <w:rFonts w:ascii="Arial" w:hAnsi="Arial" w:cs="Arial"/>
          <w:sz w:val="20"/>
          <w:szCs w:val="20"/>
        </w:rPr>
        <w:t>představují</w:t>
      </w:r>
      <w:r w:rsidR="003E5B5D" w:rsidRPr="007F3D2B">
        <w:rPr>
          <w:rFonts w:ascii="Arial" w:hAnsi="Arial" w:cs="Arial"/>
          <w:sz w:val="20"/>
          <w:szCs w:val="20"/>
        </w:rPr>
        <w:t xml:space="preserve"> pouze </w:t>
      </w:r>
      <w:r w:rsidR="00334394" w:rsidRPr="007F3D2B">
        <w:rPr>
          <w:rFonts w:ascii="Arial" w:hAnsi="Arial" w:cs="Arial"/>
          <w:sz w:val="20"/>
          <w:szCs w:val="20"/>
        </w:rPr>
        <w:t xml:space="preserve">15% </w:t>
      </w:r>
      <w:r w:rsidR="00F63742" w:rsidRPr="007F3D2B">
        <w:rPr>
          <w:rFonts w:ascii="Arial" w:hAnsi="Arial" w:cs="Arial"/>
          <w:sz w:val="20"/>
          <w:szCs w:val="20"/>
        </w:rPr>
        <w:t>podíl na</w:t>
      </w:r>
      <w:r w:rsidR="00AD165D" w:rsidRPr="007F3D2B">
        <w:rPr>
          <w:rFonts w:ascii="Arial" w:hAnsi="Arial" w:cs="Arial"/>
          <w:sz w:val="20"/>
          <w:szCs w:val="20"/>
        </w:rPr>
        <w:t xml:space="preserve"> souhrnu všech </w:t>
      </w:r>
      <w:r w:rsidRPr="007F3D2B">
        <w:rPr>
          <w:rFonts w:ascii="Arial" w:hAnsi="Arial" w:cs="Arial"/>
          <w:sz w:val="20"/>
          <w:szCs w:val="20"/>
        </w:rPr>
        <w:t xml:space="preserve">vysoutěžených cen veřejných </w:t>
      </w:r>
      <w:r w:rsidR="00AD165D" w:rsidRPr="007F3D2B">
        <w:rPr>
          <w:rFonts w:ascii="Arial" w:hAnsi="Arial" w:cs="Arial"/>
          <w:sz w:val="20"/>
          <w:szCs w:val="20"/>
        </w:rPr>
        <w:t>zakázek</w:t>
      </w:r>
      <w:r w:rsidRPr="007F3D2B">
        <w:rPr>
          <w:rFonts w:ascii="Arial" w:hAnsi="Arial" w:cs="Arial"/>
          <w:sz w:val="20"/>
          <w:szCs w:val="20"/>
        </w:rPr>
        <w:t xml:space="preserve"> evidovaných ve Věstníku veřejných zakázek</w:t>
      </w:r>
      <w:r w:rsidR="003E5B5D" w:rsidRPr="007F3D2B">
        <w:rPr>
          <w:rFonts w:ascii="Arial" w:hAnsi="Arial" w:cs="Arial"/>
          <w:sz w:val="20"/>
          <w:szCs w:val="20"/>
        </w:rPr>
        <w:t>.</w:t>
      </w:r>
      <w:r w:rsidR="00AD165D" w:rsidRPr="007F3D2B">
        <w:rPr>
          <w:rFonts w:ascii="Arial" w:hAnsi="Arial" w:cs="Arial"/>
          <w:sz w:val="20"/>
          <w:szCs w:val="20"/>
        </w:rPr>
        <w:t xml:space="preserve"> </w:t>
      </w:r>
      <w:r w:rsidR="00F63742" w:rsidRPr="007F3D2B">
        <w:rPr>
          <w:rFonts w:ascii="Arial" w:hAnsi="Arial" w:cs="Arial"/>
          <w:sz w:val="20"/>
          <w:szCs w:val="20"/>
        </w:rPr>
        <w:t>Z</w:t>
      </w:r>
      <w:r w:rsidR="00AD165D" w:rsidRPr="007F3D2B">
        <w:rPr>
          <w:rFonts w:ascii="Arial" w:hAnsi="Arial" w:cs="Arial"/>
          <w:sz w:val="20"/>
          <w:szCs w:val="20"/>
        </w:rPr>
        <w:t> uvedeného vyplývá, že velká skupina zadavatelů zadává zakázku pouze ojediněle. Provedení zadávacího řízení je spojeno se značnou administrativní zátěží a vyžaduje odborné znalosti zúčastněných osob. Tuto skupinu zadavatelů lze označit jako méně zkušenou a dovodit</w:t>
      </w:r>
      <w:r w:rsidR="00166D63" w:rsidRPr="007F3D2B">
        <w:rPr>
          <w:rFonts w:ascii="Arial" w:hAnsi="Arial" w:cs="Arial"/>
          <w:sz w:val="20"/>
          <w:szCs w:val="20"/>
        </w:rPr>
        <w:t>,</w:t>
      </w:r>
      <w:r w:rsidR="00AD165D" w:rsidRPr="007F3D2B">
        <w:rPr>
          <w:rFonts w:ascii="Arial" w:hAnsi="Arial" w:cs="Arial"/>
          <w:sz w:val="20"/>
          <w:szCs w:val="20"/>
        </w:rPr>
        <w:t xml:space="preserve"> že nese </w:t>
      </w:r>
      <w:r w:rsidR="00F63742" w:rsidRPr="007F3D2B">
        <w:rPr>
          <w:rFonts w:ascii="Arial" w:hAnsi="Arial" w:cs="Arial"/>
          <w:sz w:val="20"/>
          <w:szCs w:val="20"/>
        </w:rPr>
        <w:t>z</w:t>
      </w:r>
      <w:r w:rsidR="00AD165D" w:rsidRPr="007F3D2B">
        <w:rPr>
          <w:rFonts w:ascii="Arial" w:hAnsi="Arial" w:cs="Arial"/>
          <w:sz w:val="20"/>
          <w:szCs w:val="20"/>
        </w:rPr>
        <w:t>výšené riziko chybovosti</w:t>
      </w:r>
      <w:r w:rsidR="00E10928" w:rsidRPr="007F3D2B">
        <w:rPr>
          <w:rFonts w:ascii="Arial" w:hAnsi="Arial" w:cs="Arial"/>
          <w:sz w:val="20"/>
          <w:szCs w:val="20"/>
        </w:rPr>
        <w:t xml:space="preserve">. S ohledem na tuto skutečnost byl stanoven cíl této regulace </w:t>
      </w:r>
      <w:r w:rsidR="00F63742" w:rsidRPr="007F3D2B">
        <w:rPr>
          <w:rFonts w:ascii="Arial" w:hAnsi="Arial" w:cs="Arial"/>
          <w:sz w:val="20"/>
          <w:szCs w:val="20"/>
        </w:rPr>
        <w:t>(viz níže)</w:t>
      </w:r>
      <w:r w:rsidR="00A62EDD" w:rsidRPr="007F3D2B">
        <w:rPr>
          <w:rFonts w:ascii="Arial" w:hAnsi="Arial" w:cs="Arial"/>
          <w:sz w:val="20"/>
          <w:szCs w:val="20"/>
        </w:rPr>
        <w:t xml:space="preserve"> v duchu zjednodušení</w:t>
      </w:r>
      <w:r w:rsidR="00E10928" w:rsidRPr="007F3D2B">
        <w:rPr>
          <w:rFonts w:ascii="Arial" w:hAnsi="Arial" w:cs="Arial"/>
          <w:sz w:val="20"/>
          <w:szCs w:val="20"/>
        </w:rPr>
        <w:t xml:space="preserve"> zadávání veřejných zakázek a zároveň zachování nástrojů, které zajistí dostatečnou transparentnost</w:t>
      </w:r>
      <w:r w:rsidR="00A62EDD" w:rsidRPr="007F3D2B">
        <w:rPr>
          <w:rFonts w:ascii="Arial" w:hAnsi="Arial" w:cs="Arial"/>
          <w:sz w:val="20"/>
          <w:szCs w:val="20"/>
        </w:rPr>
        <w:t xml:space="preserve"> tohoto</w:t>
      </w:r>
      <w:r w:rsidR="00E10928" w:rsidRPr="007F3D2B">
        <w:rPr>
          <w:rFonts w:ascii="Arial" w:hAnsi="Arial" w:cs="Arial"/>
          <w:sz w:val="20"/>
          <w:szCs w:val="20"/>
        </w:rPr>
        <w:t xml:space="preserve"> procesu.</w:t>
      </w:r>
    </w:p>
    <w:p w:rsidR="00974D6B" w:rsidRPr="007F3D2B" w:rsidRDefault="00974D6B" w:rsidP="007F3D2B">
      <w:pPr>
        <w:spacing w:before="120" w:line="276" w:lineRule="auto"/>
        <w:jc w:val="both"/>
        <w:rPr>
          <w:rFonts w:ascii="Arial" w:hAnsi="Arial" w:cs="Arial"/>
          <w:sz w:val="20"/>
          <w:szCs w:val="20"/>
        </w:rPr>
      </w:pPr>
    </w:p>
    <w:p w:rsidR="00974D6B" w:rsidRPr="007F3D2B" w:rsidRDefault="00E10928" w:rsidP="007F3D2B">
      <w:pPr>
        <w:spacing w:before="120" w:line="276" w:lineRule="auto"/>
        <w:jc w:val="both"/>
        <w:rPr>
          <w:rFonts w:ascii="Arial" w:hAnsi="Arial" w:cs="Arial"/>
          <w:sz w:val="20"/>
          <w:szCs w:val="20"/>
        </w:rPr>
      </w:pPr>
      <w:r w:rsidRPr="007F3D2B">
        <w:rPr>
          <w:rFonts w:ascii="Arial" w:hAnsi="Arial" w:cs="Arial"/>
          <w:sz w:val="20"/>
          <w:szCs w:val="20"/>
        </w:rPr>
        <w:t>Přibližně 400 zadavatelů lze označit za zkušené zadavatele</w:t>
      </w:r>
      <w:r w:rsidR="00155522" w:rsidRPr="007F3D2B">
        <w:rPr>
          <w:rFonts w:ascii="Arial" w:hAnsi="Arial" w:cs="Arial"/>
          <w:sz w:val="20"/>
          <w:szCs w:val="20"/>
        </w:rPr>
        <w:t xml:space="preserve">, protože provádí větší počet zadávacích řízení ročně a pokrývají </w:t>
      </w:r>
      <w:r w:rsidRPr="007F3D2B">
        <w:rPr>
          <w:rFonts w:ascii="Arial" w:hAnsi="Arial" w:cs="Arial"/>
          <w:sz w:val="20"/>
          <w:szCs w:val="20"/>
        </w:rPr>
        <w:t>kolem</w:t>
      </w:r>
      <w:r w:rsidR="00627668" w:rsidRPr="007F3D2B">
        <w:rPr>
          <w:rFonts w:ascii="Arial" w:hAnsi="Arial" w:cs="Arial"/>
          <w:sz w:val="20"/>
          <w:szCs w:val="20"/>
        </w:rPr>
        <w:t xml:space="preserve"> 80 % finančního objemu </w:t>
      </w:r>
      <w:r w:rsidR="00A62EDD" w:rsidRPr="007F3D2B">
        <w:rPr>
          <w:rFonts w:ascii="Arial" w:hAnsi="Arial" w:cs="Arial"/>
          <w:sz w:val="20"/>
          <w:szCs w:val="20"/>
        </w:rPr>
        <w:t xml:space="preserve">zadaných </w:t>
      </w:r>
      <w:r w:rsidR="00627668" w:rsidRPr="007F3D2B">
        <w:rPr>
          <w:rFonts w:ascii="Arial" w:hAnsi="Arial" w:cs="Arial"/>
          <w:sz w:val="20"/>
          <w:szCs w:val="20"/>
        </w:rPr>
        <w:t>veřejných zakázek. Předpokládané hodnoty těchto zakázek zpravidla dosahují prahových hodnot stanovených ve směrnicích, v důsledku čehož na ně plně dopadne transpozice</w:t>
      </w:r>
      <w:r w:rsidR="00155522" w:rsidRPr="007F3D2B">
        <w:rPr>
          <w:rFonts w:ascii="Arial" w:hAnsi="Arial" w:cs="Arial"/>
          <w:sz w:val="20"/>
          <w:szCs w:val="20"/>
        </w:rPr>
        <w:t xml:space="preserve"> evropských předpisů, a proto nejsou stěžejním předmětem věcného záměru zákona.</w:t>
      </w:r>
    </w:p>
    <w:p w:rsidR="00974D6B" w:rsidRDefault="00974D6B" w:rsidP="007F3D2B">
      <w:pPr>
        <w:spacing w:before="120" w:line="276" w:lineRule="auto"/>
        <w:jc w:val="both"/>
        <w:rPr>
          <w:rFonts w:ascii="Arial" w:hAnsi="Arial" w:cs="Arial"/>
          <w:sz w:val="20"/>
          <w:szCs w:val="20"/>
        </w:rPr>
      </w:pPr>
    </w:p>
    <w:p w:rsidR="008E0CA5" w:rsidRPr="007F3D2B" w:rsidRDefault="008E0CA5" w:rsidP="007F3D2B">
      <w:pPr>
        <w:spacing w:before="120" w:line="276" w:lineRule="auto"/>
        <w:jc w:val="both"/>
        <w:rPr>
          <w:rFonts w:ascii="Arial" w:hAnsi="Arial" w:cs="Arial"/>
          <w:sz w:val="20"/>
          <w:szCs w:val="20"/>
        </w:rPr>
      </w:pPr>
    </w:p>
    <w:p w:rsidR="00842B3C" w:rsidRPr="007F3D2B" w:rsidRDefault="00166D63" w:rsidP="007F3D2B">
      <w:pPr>
        <w:spacing w:before="120" w:line="276" w:lineRule="auto"/>
        <w:jc w:val="both"/>
        <w:rPr>
          <w:rFonts w:ascii="Arial" w:hAnsi="Arial" w:cs="Arial"/>
          <w:sz w:val="20"/>
          <w:szCs w:val="20"/>
        </w:rPr>
      </w:pPr>
      <w:r w:rsidRPr="007F3D2B">
        <w:rPr>
          <w:rFonts w:ascii="Arial" w:hAnsi="Arial" w:cs="Arial"/>
          <w:sz w:val="20"/>
          <w:szCs w:val="20"/>
        </w:rPr>
        <w:t>B)</w:t>
      </w:r>
      <w:r w:rsidR="00842B3C" w:rsidRPr="007F3D2B">
        <w:rPr>
          <w:rFonts w:ascii="Arial" w:hAnsi="Arial" w:cs="Arial"/>
          <w:sz w:val="20"/>
          <w:szCs w:val="20"/>
        </w:rPr>
        <w:t xml:space="preserve"> Soukromé subjekty</w:t>
      </w:r>
    </w:p>
    <w:p w:rsidR="00842B3C" w:rsidRPr="007F3D2B" w:rsidRDefault="00842B3C" w:rsidP="007F3D2B">
      <w:pPr>
        <w:numPr>
          <w:ilvl w:val="0"/>
          <w:numId w:val="12"/>
        </w:numPr>
        <w:tabs>
          <w:tab w:val="num" w:pos="732"/>
        </w:tabs>
        <w:spacing w:before="120" w:line="276" w:lineRule="auto"/>
        <w:ind w:hanging="708"/>
        <w:jc w:val="both"/>
        <w:rPr>
          <w:rFonts w:ascii="Arial" w:hAnsi="Arial" w:cs="Arial"/>
          <w:sz w:val="20"/>
          <w:szCs w:val="20"/>
        </w:rPr>
      </w:pPr>
      <w:r w:rsidRPr="007F3D2B">
        <w:rPr>
          <w:rFonts w:ascii="Arial" w:hAnsi="Arial" w:cs="Arial"/>
          <w:sz w:val="20"/>
          <w:szCs w:val="20"/>
        </w:rPr>
        <w:t xml:space="preserve">Dodavatelé </w:t>
      </w:r>
    </w:p>
    <w:p w:rsidR="00842B3C" w:rsidRPr="007F3D2B" w:rsidRDefault="00842B3C" w:rsidP="007F3D2B">
      <w:pPr>
        <w:numPr>
          <w:ilvl w:val="0"/>
          <w:numId w:val="12"/>
        </w:numPr>
        <w:tabs>
          <w:tab w:val="num" w:pos="732"/>
        </w:tabs>
        <w:spacing w:before="120" w:line="276" w:lineRule="auto"/>
        <w:ind w:hanging="708"/>
        <w:jc w:val="both"/>
        <w:rPr>
          <w:rFonts w:ascii="Arial" w:hAnsi="Arial" w:cs="Arial"/>
          <w:sz w:val="20"/>
          <w:szCs w:val="20"/>
        </w:rPr>
      </w:pPr>
      <w:r w:rsidRPr="007F3D2B">
        <w:rPr>
          <w:rFonts w:ascii="Arial" w:hAnsi="Arial" w:cs="Arial"/>
          <w:sz w:val="20"/>
          <w:szCs w:val="20"/>
        </w:rPr>
        <w:t xml:space="preserve">Poradenské organizace </w:t>
      </w:r>
    </w:p>
    <w:p w:rsidR="00842B3C" w:rsidRDefault="00842B3C" w:rsidP="007F3D2B">
      <w:pPr>
        <w:spacing w:before="120" w:line="276" w:lineRule="auto"/>
        <w:jc w:val="both"/>
        <w:rPr>
          <w:rFonts w:ascii="Arial" w:hAnsi="Arial" w:cs="Arial"/>
          <w:sz w:val="20"/>
          <w:szCs w:val="20"/>
        </w:rPr>
      </w:pPr>
    </w:p>
    <w:p w:rsidR="008E0CA5" w:rsidRPr="007F3D2B" w:rsidRDefault="008E0CA5" w:rsidP="007F3D2B">
      <w:pPr>
        <w:spacing w:before="120" w:line="276" w:lineRule="auto"/>
        <w:jc w:val="both"/>
        <w:rPr>
          <w:rFonts w:ascii="Arial" w:hAnsi="Arial" w:cs="Arial"/>
          <w:sz w:val="20"/>
          <w:szCs w:val="20"/>
        </w:rPr>
      </w:pPr>
    </w:p>
    <w:p w:rsidR="00842B3C" w:rsidRPr="007F3D2B" w:rsidRDefault="00842B3C" w:rsidP="007F3D2B">
      <w:pPr>
        <w:spacing w:before="120" w:line="276" w:lineRule="auto"/>
        <w:jc w:val="both"/>
        <w:rPr>
          <w:rFonts w:ascii="Arial" w:hAnsi="Arial" w:cs="Arial"/>
          <w:sz w:val="20"/>
          <w:szCs w:val="20"/>
        </w:rPr>
      </w:pPr>
      <w:r w:rsidRPr="007F3D2B">
        <w:rPr>
          <w:rFonts w:ascii="Arial" w:hAnsi="Arial" w:cs="Arial"/>
          <w:sz w:val="20"/>
          <w:szCs w:val="20"/>
        </w:rPr>
        <w:t>C) Orgány dohledu</w:t>
      </w:r>
    </w:p>
    <w:p w:rsidR="00842B3C" w:rsidRPr="007F3D2B" w:rsidRDefault="00842B3C" w:rsidP="007F3D2B">
      <w:pPr>
        <w:numPr>
          <w:ilvl w:val="0"/>
          <w:numId w:val="12"/>
        </w:numPr>
        <w:tabs>
          <w:tab w:val="num" w:pos="732"/>
        </w:tabs>
        <w:spacing w:before="120" w:line="276" w:lineRule="auto"/>
        <w:ind w:hanging="708"/>
        <w:jc w:val="both"/>
        <w:rPr>
          <w:rFonts w:ascii="Arial" w:hAnsi="Arial" w:cs="Arial"/>
          <w:sz w:val="20"/>
          <w:szCs w:val="20"/>
        </w:rPr>
      </w:pPr>
      <w:r w:rsidRPr="007F3D2B">
        <w:rPr>
          <w:rFonts w:ascii="Arial" w:hAnsi="Arial" w:cs="Arial"/>
          <w:sz w:val="20"/>
          <w:szCs w:val="20"/>
        </w:rPr>
        <w:t>Úřad pro ochranu hospodářské soutěže</w:t>
      </w:r>
    </w:p>
    <w:p w:rsidR="00842B3C" w:rsidRPr="007F3D2B" w:rsidRDefault="00842B3C" w:rsidP="007F3D2B">
      <w:pPr>
        <w:numPr>
          <w:ilvl w:val="0"/>
          <w:numId w:val="12"/>
        </w:numPr>
        <w:tabs>
          <w:tab w:val="num" w:pos="732"/>
        </w:tabs>
        <w:spacing w:before="120" w:line="276" w:lineRule="auto"/>
        <w:ind w:hanging="708"/>
        <w:jc w:val="both"/>
        <w:rPr>
          <w:rFonts w:ascii="Arial" w:hAnsi="Arial" w:cs="Arial"/>
          <w:sz w:val="20"/>
          <w:szCs w:val="20"/>
        </w:rPr>
      </w:pPr>
      <w:r w:rsidRPr="007F3D2B">
        <w:rPr>
          <w:rFonts w:ascii="Arial" w:hAnsi="Arial" w:cs="Arial"/>
          <w:sz w:val="20"/>
          <w:szCs w:val="20"/>
        </w:rPr>
        <w:t>Nejvyšší kontrolní úřad</w:t>
      </w:r>
    </w:p>
    <w:p w:rsidR="00842B3C" w:rsidRPr="007F3D2B" w:rsidRDefault="00842B3C" w:rsidP="007F3D2B">
      <w:pPr>
        <w:numPr>
          <w:ilvl w:val="0"/>
          <w:numId w:val="12"/>
        </w:numPr>
        <w:tabs>
          <w:tab w:val="num" w:pos="732"/>
        </w:tabs>
        <w:spacing w:before="120" w:line="276" w:lineRule="auto"/>
        <w:ind w:hanging="708"/>
        <w:jc w:val="both"/>
        <w:rPr>
          <w:rFonts w:ascii="Arial" w:hAnsi="Arial" w:cs="Arial"/>
          <w:sz w:val="20"/>
          <w:szCs w:val="20"/>
        </w:rPr>
      </w:pPr>
      <w:r w:rsidRPr="007F3D2B">
        <w:rPr>
          <w:rFonts w:ascii="Arial" w:hAnsi="Arial" w:cs="Arial"/>
          <w:sz w:val="20"/>
          <w:szCs w:val="20"/>
        </w:rPr>
        <w:t>Finanční úřady</w:t>
      </w:r>
    </w:p>
    <w:p w:rsidR="00842B3C" w:rsidRPr="007F3D2B" w:rsidRDefault="00842B3C" w:rsidP="007F3D2B">
      <w:pPr>
        <w:numPr>
          <w:ilvl w:val="0"/>
          <w:numId w:val="12"/>
        </w:numPr>
        <w:tabs>
          <w:tab w:val="num" w:pos="732"/>
        </w:tabs>
        <w:spacing w:before="120" w:line="276" w:lineRule="auto"/>
        <w:ind w:hanging="708"/>
        <w:jc w:val="both"/>
        <w:rPr>
          <w:rFonts w:ascii="Arial" w:hAnsi="Arial" w:cs="Arial"/>
          <w:sz w:val="20"/>
          <w:szCs w:val="20"/>
        </w:rPr>
      </w:pPr>
      <w:r w:rsidRPr="007F3D2B">
        <w:rPr>
          <w:rFonts w:ascii="Arial" w:hAnsi="Arial" w:cs="Arial"/>
          <w:sz w:val="20"/>
          <w:szCs w:val="20"/>
        </w:rPr>
        <w:t>Soudy</w:t>
      </w:r>
    </w:p>
    <w:p w:rsidR="00842B3C" w:rsidRDefault="00842B3C" w:rsidP="007F3D2B">
      <w:pPr>
        <w:spacing w:before="120" w:line="276" w:lineRule="auto"/>
        <w:jc w:val="both"/>
        <w:rPr>
          <w:rFonts w:ascii="Arial" w:hAnsi="Arial" w:cs="Arial"/>
          <w:sz w:val="20"/>
          <w:szCs w:val="20"/>
        </w:rPr>
      </w:pPr>
    </w:p>
    <w:p w:rsidR="008E0CA5" w:rsidRPr="007F3D2B" w:rsidRDefault="008E0CA5" w:rsidP="007F3D2B">
      <w:pPr>
        <w:spacing w:before="120" w:line="276" w:lineRule="auto"/>
        <w:jc w:val="both"/>
        <w:rPr>
          <w:rFonts w:ascii="Arial" w:hAnsi="Arial" w:cs="Arial"/>
          <w:sz w:val="20"/>
          <w:szCs w:val="20"/>
        </w:rPr>
      </w:pPr>
    </w:p>
    <w:p w:rsidR="00842B3C" w:rsidRPr="007F3D2B" w:rsidRDefault="00842B3C" w:rsidP="007F3D2B">
      <w:pPr>
        <w:spacing w:before="120" w:line="276" w:lineRule="auto"/>
        <w:jc w:val="both"/>
        <w:rPr>
          <w:rFonts w:ascii="Arial" w:hAnsi="Arial" w:cs="Arial"/>
          <w:sz w:val="20"/>
          <w:szCs w:val="20"/>
        </w:rPr>
      </w:pPr>
      <w:r w:rsidRPr="007F3D2B">
        <w:rPr>
          <w:rFonts w:ascii="Arial" w:hAnsi="Arial" w:cs="Arial"/>
          <w:sz w:val="20"/>
          <w:szCs w:val="20"/>
        </w:rPr>
        <w:t>D) Ostatní</w:t>
      </w:r>
    </w:p>
    <w:p w:rsidR="00842B3C" w:rsidRPr="007F3D2B" w:rsidRDefault="00842B3C" w:rsidP="007F3D2B">
      <w:pPr>
        <w:numPr>
          <w:ilvl w:val="0"/>
          <w:numId w:val="12"/>
        </w:numPr>
        <w:tabs>
          <w:tab w:val="num" w:pos="732"/>
        </w:tabs>
        <w:spacing w:before="120" w:line="276" w:lineRule="auto"/>
        <w:ind w:hanging="708"/>
        <w:jc w:val="both"/>
        <w:rPr>
          <w:rFonts w:ascii="Arial" w:hAnsi="Arial" w:cs="Arial"/>
          <w:sz w:val="20"/>
          <w:szCs w:val="20"/>
        </w:rPr>
      </w:pPr>
      <w:r w:rsidRPr="007F3D2B">
        <w:rPr>
          <w:rFonts w:ascii="Arial" w:hAnsi="Arial" w:cs="Arial"/>
          <w:sz w:val="20"/>
          <w:szCs w:val="20"/>
        </w:rPr>
        <w:t xml:space="preserve">Veřejnost </w:t>
      </w:r>
      <w:r w:rsidR="008561EB">
        <w:rPr>
          <w:rFonts w:ascii="Arial" w:hAnsi="Arial" w:cs="Arial"/>
          <w:sz w:val="20"/>
          <w:szCs w:val="20"/>
        </w:rPr>
        <w:t>–</w:t>
      </w:r>
      <w:r w:rsidRPr="007F3D2B">
        <w:rPr>
          <w:rFonts w:ascii="Arial" w:hAnsi="Arial" w:cs="Arial"/>
          <w:sz w:val="20"/>
          <w:szCs w:val="20"/>
        </w:rPr>
        <w:t xml:space="preserve"> </w:t>
      </w:r>
      <w:r w:rsidR="00731A7E" w:rsidRPr="007F3D2B">
        <w:rPr>
          <w:rFonts w:ascii="Arial" w:hAnsi="Arial" w:cs="Arial"/>
          <w:sz w:val="20"/>
          <w:szCs w:val="20"/>
        </w:rPr>
        <w:t>š</w:t>
      </w:r>
      <w:r w:rsidRPr="007F3D2B">
        <w:rPr>
          <w:rFonts w:ascii="Arial" w:hAnsi="Arial" w:cs="Arial"/>
          <w:sz w:val="20"/>
          <w:szCs w:val="20"/>
        </w:rPr>
        <w:t xml:space="preserve">iroká veřejnost nepatří do subjektů přímo dotčených </w:t>
      </w:r>
      <w:r w:rsidR="002B16EF" w:rsidRPr="007F3D2B">
        <w:rPr>
          <w:rFonts w:ascii="Arial" w:hAnsi="Arial" w:cs="Arial"/>
          <w:sz w:val="20"/>
          <w:szCs w:val="20"/>
        </w:rPr>
        <w:t>věcným záměrem</w:t>
      </w:r>
      <w:r w:rsidRPr="007F3D2B">
        <w:rPr>
          <w:rFonts w:ascii="Arial" w:hAnsi="Arial" w:cs="Arial"/>
          <w:sz w:val="20"/>
          <w:szCs w:val="20"/>
        </w:rPr>
        <w:t>. Př</w:t>
      </w:r>
      <w:r w:rsidR="001A5EBB" w:rsidRPr="007F3D2B">
        <w:rPr>
          <w:rFonts w:ascii="Arial" w:hAnsi="Arial" w:cs="Arial"/>
          <w:sz w:val="20"/>
          <w:szCs w:val="20"/>
        </w:rPr>
        <w:t>ípad</w:t>
      </w:r>
      <w:r w:rsidRPr="007F3D2B">
        <w:rPr>
          <w:rFonts w:ascii="Arial" w:hAnsi="Arial" w:cs="Arial"/>
          <w:sz w:val="20"/>
          <w:szCs w:val="20"/>
        </w:rPr>
        <w:t>né úspory veřejných zdrojů však mohou přinést nepřímý pozitivní dopad na veřejnost – uspořené finanční prostředky lze využít v oblastech sociální, zdravotní či vzdělávací politiky státních i samosprávných orgánů.</w:t>
      </w:r>
    </w:p>
    <w:p w:rsidR="00842B3C" w:rsidRPr="007F3D2B" w:rsidRDefault="007F3D2B" w:rsidP="007F3D2B">
      <w:pPr>
        <w:numPr>
          <w:ilvl w:val="0"/>
          <w:numId w:val="12"/>
        </w:numPr>
        <w:tabs>
          <w:tab w:val="num" w:pos="732"/>
        </w:tabs>
        <w:spacing w:before="120" w:line="276" w:lineRule="auto"/>
        <w:ind w:hanging="708"/>
        <w:jc w:val="both"/>
        <w:rPr>
          <w:rFonts w:ascii="Arial" w:hAnsi="Arial" w:cs="Arial"/>
          <w:sz w:val="20"/>
          <w:szCs w:val="20"/>
        </w:rPr>
      </w:pPr>
      <w:r w:rsidRPr="007F3D2B">
        <w:rPr>
          <w:rFonts w:ascii="Arial" w:hAnsi="Arial" w:cs="Arial"/>
          <w:sz w:val="20"/>
          <w:szCs w:val="20"/>
        </w:rPr>
        <w:t xml:space="preserve">Nevládní neziskové organizace </w:t>
      </w:r>
      <w:r w:rsidR="008561EB">
        <w:rPr>
          <w:rFonts w:ascii="Arial" w:hAnsi="Arial" w:cs="Arial"/>
          <w:sz w:val="20"/>
          <w:szCs w:val="20"/>
        </w:rPr>
        <w:t xml:space="preserve">– </w:t>
      </w:r>
      <w:r w:rsidR="00842B3C" w:rsidRPr="007F3D2B">
        <w:rPr>
          <w:rFonts w:ascii="Arial" w:hAnsi="Arial" w:cs="Arial"/>
          <w:sz w:val="20"/>
          <w:szCs w:val="20"/>
        </w:rPr>
        <w:t>pouze v případě, že jsou příjemci dotací z veřejných rozpočtů či strukturálních fondů EU</w:t>
      </w:r>
      <w:r w:rsidR="00731A7E" w:rsidRPr="007F3D2B">
        <w:rPr>
          <w:rFonts w:ascii="Arial" w:hAnsi="Arial" w:cs="Arial"/>
          <w:sz w:val="20"/>
          <w:szCs w:val="20"/>
        </w:rPr>
        <w:t>.</w:t>
      </w:r>
    </w:p>
    <w:p w:rsidR="00842B3C" w:rsidRPr="007F3D2B" w:rsidRDefault="00842B3C" w:rsidP="007F3D2B">
      <w:pPr>
        <w:pStyle w:val="Zkladntext"/>
        <w:spacing w:before="120" w:after="0" w:line="276" w:lineRule="auto"/>
        <w:jc w:val="both"/>
        <w:rPr>
          <w:rFonts w:ascii="Arial" w:hAnsi="Arial" w:cs="Arial"/>
          <w:sz w:val="20"/>
          <w:szCs w:val="20"/>
        </w:rPr>
      </w:pPr>
    </w:p>
    <w:p w:rsidR="00DE783B" w:rsidRPr="007F3D2B" w:rsidRDefault="008D42E8" w:rsidP="007F3D2B">
      <w:pPr>
        <w:pStyle w:val="Zkladntext"/>
        <w:spacing w:before="120" w:after="0" w:line="276" w:lineRule="auto"/>
        <w:jc w:val="both"/>
        <w:rPr>
          <w:rFonts w:ascii="Arial" w:hAnsi="Arial" w:cs="Arial"/>
          <w:b/>
          <w:sz w:val="20"/>
          <w:szCs w:val="20"/>
        </w:rPr>
      </w:pPr>
      <w:r w:rsidRPr="007F3D2B">
        <w:rPr>
          <w:rFonts w:ascii="Arial" w:hAnsi="Arial" w:cs="Arial"/>
          <w:b/>
          <w:sz w:val="20"/>
          <w:szCs w:val="20"/>
        </w:rPr>
        <w:t>1.5</w:t>
      </w:r>
      <w:r w:rsidR="00396A64" w:rsidRPr="007F3D2B">
        <w:rPr>
          <w:rFonts w:ascii="Arial" w:hAnsi="Arial" w:cs="Arial"/>
          <w:b/>
          <w:sz w:val="20"/>
          <w:szCs w:val="20"/>
        </w:rPr>
        <w:t>. P</w:t>
      </w:r>
      <w:r w:rsidR="004D1E74" w:rsidRPr="007F3D2B">
        <w:rPr>
          <w:rFonts w:ascii="Arial" w:hAnsi="Arial" w:cs="Arial"/>
          <w:b/>
          <w:sz w:val="20"/>
          <w:szCs w:val="20"/>
        </w:rPr>
        <w:t>opis cílového stavu</w:t>
      </w:r>
    </w:p>
    <w:p w:rsidR="004D1E74" w:rsidRPr="007F3D2B" w:rsidRDefault="00BA702D" w:rsidP="007F3D2B">
      <w:pPr>
        <w:pStyle w:val="Zkladntext"/>
        <w:spacing w:before="120" w:after="0" w:line="276" w:lineRule="auto"/>
        <w:jc w:val="both"/>
        <w:rPr>
          <w:rFonts w:ascii="Arial" w:hAnsi="Arial" w:cs="Arial"/>
          <w:sz w:val="20"/>
          <w:szCs w:val="20"/>
        </w:rPr>
      </w:pPr>
      <w:r w:rsidRPr="007F3D2B">
        <w:rPr>
          <w:rFonts w:ascii="Arial" w:hAnsi="Arial" w:cs="Arial"/>
          <w:sz w:val="20"/>
          <w:szCs w:val="20"/>
        </w:rPr>
        <w:t>Cílovým stavem je stanovení rámce</w:t>
      </w:r>
      <w:r w:rsidR="00EC1652" w:rsidRPr="007F3D2B">
        <w:rPr>
          <w:rFonts w:ascii="Arial" w:hAnsi="Arial" w:cs="Arial"/>
          <w:sz w:val="20"/>
          <w:szCs w:val="20"/>
        </w:rPr>
        <w:t xml:space="preserve">, </w:t>
      </w:r>
      <w:r w:rsidRPr="007F3D2B">
        <w:rPr>
          <w:rFonts w:ascii="Arial" w:hAnsi="Arial" w:cs="Arial"/>
          <w:sz w:val="20"/>
          <w:szCs w:val="20"/>
        </w:rPr>
        <w:t xml:space="preserve">ve kterém se bude předkladatel dále pohybovat v rámci přípravy budoucí právní úpravy zadávání veřejných zakázek, a to především v oblastech které nejsou přímo regulovány evropskou legislativou. Záměrem předkladatele je nastolit takový rámec, který povede ke zjednodušení zadávání veřejných zakázek a větší flexibilitě zadavatele při výběru dodavatele a zároveň zachování nástrojů, které zajistí dostatečnou transparentnost procesu. </w:t>
      </w:r>
    </w:p>
    <w:p w:rsidR="004D1E74" w:rsidRPr="007F3D2B" w:rsidRDefault="004D1E74" w:rsidP="007F3D2B">
      <w:pPr>
        <w:pStyle w:val="Zkladntext"/>
        <w:spacing w:before="120" w:after="0" w:line="276" w:lineRule="auto"/>
        <w:jc w:val="both"/>
        <w:rPr>
          <w:rFonts w:ascii="Arial" w:hAnsi="Arial" w:cs="Arial"/>
          <w:b/>
          <w:sz w:val="20"/>
          <w:szCs w:val="20"/>
        </w:rPr>
      </w:pPr>
    </w:p>
    <w:p w:rsidR="004C1F96" w:rsidRPr="007F3D2B" w:rsidRDefault="008D42E8" w:rsidP="007F3D2B">
      <w:pPr>
        <w:pStyle w:val="Zkladntext"/>
        <w:spacing w:before="120" w:after="0" w:line="276" w:lineRule="auto"/>
        <w:jc w:val="both"/>
        <w:rPr>
          <w:rFonts w:ascii="Arial" w:hAnsi="Arial" w:cs="Arial"/>
          <w:b/>
          <w:sz w:val="20"/>
          <w:szCs w:val="20"/>
        </w:rPr>
      </w:pPr>
      <w:r w:rsidRPr="007F3D2B">
        <w:rPr>
          <w:rFonts w:ascii="Arial" w:hAnsi="Arial" w:cs="Arial"/>
          <w:b/>
          <w:sz w:val="20"/>
          <w:szCs w:val="20"/>
        </w:rPr>
        <w:t>1.6</w:t>
      </w:r>
      <w:r w:rsidR="00396A64" w:rsidRPr="007F3D2B">
        <w:rPr>
          <w:rFonts w:ascii="Arial" w:hAnsi="Arial" w:cs="Arial"/>
          <w:b/>
          <w:sz w:val="20"/>
          <w:szCs w:val="20"/>
        </w:rPr>
        <w:t>. Z</w:t>
      </w:r>
      <w:r w:rsidR="00A42D50" w:rsidRPr="007F3D2B">
        <w:rPr>
          <w:rFonts w:ascii="Arial" w:hAnsi="Arial" w:cs="Arial"/>
          <w:b/>
          <w:sz w:val="20"/>
          <w:szCs w:val="20"/>
        </w:rPr>
        <w:t>hodnocení rizika</w:t>
      </w:r>
    </w:p>
    <w:p w:rsidR="00824171" w:rsidRPr="007F3D2B" w:rsidRDefault="005E68F4" w:rsidP="007F3D2B">
      <w:pPr>
        <w:pStyle w:val="Zkladntext"/>
        <w:spacing w:before="120" w:after="0" w:line="276" w:lineRule="auto"/>
        <w:jc w:val="both"/>
        <w:rPr>
          <w:rFonts w:ascii="Arial" w:hAnsi="Arial" w:cs="Arial"/>
          <w:sz w:val="20"/>
          <w:szCs w:val="20"/>
        </w:rPr>
      </w:pPr>
      <w:r w:rsidRPr="007F3D2B">
        <w:rPr>
          <w:rFonts w:ascii="Arial" w:hAnsi="Arial" w:cs="Arial"/>
          <w:sz w:val="20"/>
          <w:szCs w:val="20"/>
          <w:lang w:eastAsia="en-US"/>
        </w:rPr>
        <w:t xml:space="preserve">Rizika </w:t>
      </w:r>
      <w:r w:rsidR="00AA62CF" w:rsidRPr="007F3D2B">
        <w:rPr>
          <w:rFonts w:ascii="Arial" w:hAnsi="Arial" w:cs="Arial"/>
          <w:sz w:val="20"/>
          <w:szCs w:val="20"/>
          <w:lang w:eastAsia="en-US"/>
        </w:rPr>
        <w:t>způsobená nečinností</w:t>
      </w:r>
      <w:r w:rsidR="004C1F96" w:rsidRPr="007F3D2B">
        <w:rPr>
          <w:rFonts w:ascii="Arial" w:hAnsi="Arial" w:cs="Arial"/>
          <w:sz w:val="20"/>
          <w:szCs w:val="20"/>
          <w:lang w:eastAsia="en-US"/>
        </w:rPr>
        <w:t xml:space="preserve"> </w:t>
      </w:r>
      <w:r w:rsidRPr="007F3D2B">
        <w:rPr>
          <w:rFonts w:ascii="Arial" w:hAnsi="Arial" w:cs="Arial"/>
          <w:sz w:val="20"/>
          <w:szCs w:val="20"/>
          <w:lang w:eastAsia="en-US"/>
        </w:rPr>
        <w:t xml:space="preserve">spočívají především v zachování </w:t>
      </w:r>
      <w:r w:rsidR="0086797A" w:rsidRPr="007F3D2B">
        <w:rPr>
          <w:rFonts w:ascii="Arial" w:hAnsi="Arial" w:cs="Arial"/>
          <w:sz w:val="20"/>
          <w:szCs w:val="20"/>
          <w:lang w:eastAsia="en-US"/>
        </w:rPr>
        <w:t xml:space="preserve">nadměrné </w:t>
      </w:r>
      <w:r w:rsidR="00AA62CF" w:rsidRPr="007F3D2B">
        <w:rPr>
          <w:rFonts w:ascii="Arial" w:hAnsi="Arial" w:cs="Arial"/>
          <w:sz w:val="20"/>
          <w:szCs w:val="20"/>
          <w:lang w:eastAsia="en-US"/>
        </w:rPr>
        <w:t>přísnosti stávajícího zákona o veřejných zakázkách</w:t>
      </w:r>
      <w:r w:rsidR="00731A7E" w:rsidRPr="007F3D2B">
        <w:rPr>
          <w:rFonts w:ascii="Arial" w:hAnsi="Arial" w:cs="Arial"/>
          <w:sz w:val="20"/>
          <w:szCs w:val="20"/>
          <w:lang w:eastAsia="en-US"/>
        </w:rPr>
        <w:t xml:space="preserve"> a neimplementaci pravidel z nových směrnic</w:t>
      </w:r>
      <w:r w:rsidR="00800BBD" w:rsidRPr="007F3D2B">
        <w:rPr>
          <w:rFonts w:ascii="Arial" w:hAnsi="Arial" w:cs="Arial"/>
          <w:sz w:val="20"/>
          <w:szCs w:val="20"/>
          <w:lang w:eastAsia="en-US"/>
        </w:rPr>
        <w:t>.</w:t>
      </w:r>
    </w:p>
    <w:p w:rsidR="00824171" w:rsidRPr="007F3D2B" w:rsidRDefault="00824171" w:rsidP="007F3D2B">
      <w:pPr>
        <w:pStyle w:val="Zkladntext"/>
        <w:spacing w:before="120" w:after="0" w:line="276" w:lineRule="auto"/>
        <w:jc w:val="both"/>
        <w:rPr>
          <w:rFonts w:ascii="Arial" w:hAnsi="Arial" w:cs="Arial"/>
          <w:sz w:val="20"/>
          <w:szCs w:val="20"/>
        </w:rPr>
      </w:pPr>
    </w:p>
    <w:p w:rsidR="00824171" w:rsidRPr="007F3D2B" w:rsidRDefault="00824171" w:rsidP="007F3D2B">
      <w:pPr>
        <w:pStyle w:val="Zkladntext"/>
        <w:spacing w:before="120" w:after="0" w:line="276" w:lineRule="auto"/>
        <w:jc w:val="both"/>
        <w:rPr>
          <w:rFonts w:ascii="Arial" w:hAnsi="Arial" w:cs="Arial"/>
          <w:sz w:val="20"/>
          <w:szCs w:val="20"/>
        </w:rPr>
      </w:pPr>
      <w:r w:rsidRPr="007F3D2B">
        <w:rPr>
          <w:rFonts w:ascii="Arial" w:hAnsi="Arial" w:cs="Arial"/>
          <w:sz w:val="20"/>
          <w:szCs w:val="20"/>
        </w:rPr>
        <w:t xml:space="preserve">Zadávací řízení je poměrně časově náročné. Cesta zadavatele k uzavření smlouvy mnohdy zabírá několik měsíců. Vzhledem k tomu, že nákupy zadavatelů sledují zajištění funkčnosti veřejné správy a jiné veřejné zájmy, mohou být dopady prodlužování procesu uzavírání smlouvy velice negativní. Váha časového rizika je stanovena jako vysoká. Zjednodušením celého procesu zadávání </w:t>
      </w:r>
      <w:r w:rsidR="00731A7E" w:rsidRPr="007F3D2B">
        <w:rPr>
          <w:rFonts w:ascii="Arial" w:hAnsi="Arial" w:cs="Arial"/>
          <w:sz w:val="20"/>
          <w:szCs w:val="20"/>
        </w:rPr>
        <w:t xml:space="preserve">bude </w:t>
      </w:r>
      <w:r w:rsidR="00E745C9" w:rsidRPr="007F3D2B">
        <w:rPr>
          <w:rFonts w:ascii="Arial" w:hAnsi="Arial" w:cs="Arial"/>
          <w:sz w:val="20"/>
          <w:szCs w:val="20"/>
        </w:rPr>
        <w:t>sníž</w:t>
      </w:r>
      <w:r w:rsidR="00731A7E" w:rsidRPr="007F3D2B">
        <w:rPr>
          <w:rFonts w:ascii="Arial" w:hAnsi="Arial" w:cs="Arial"/>
          <w:sz w:val="20"/>
          <w:szCs w:val="20"/>
        </w:rPr>
        <w:t>ena</w:t>
      </w:r>
      <w:r w:rsidR="00E745C9" w:rsidRPr="007F3D2B">
        <w:rPr>
          <w:rFonts w:ascii="Arial" w:hAnsi="Arial" w:cs="Arial"/>
          <w:sz w:val="20"/>
          <w:szCs w:val="20"/>
        </w:rPr>
        <w:t xml:space="preserve"> časov</w:t>
      </w:r>
      <w:r w:rsidR="00731A7E" w:rsidRPr="007F3D2B">
        <w:rPr>
          <w:rFonts w:ascii="Arial" w:hAnsi="Arial" w:cs="Arial"/>
          <w:sz w:val="20"/>
          <w:szCs w:val="20"/>
        </w:rPr>
        <w:t>á</w:t>
      </w:r>
      <w:r w:rsidR="00E745C9" w:rsidRPr="007F3D2B">
        <w:rPr>
          <w:rFonts w:ascii="Arial" w:hAnsi="Arial" w:cs="Arial"/>
          <w:sz w:val="20"/>
          <w:szCs w:val="20"/>
        </w:rPr>
        <w:t xml:space="preserve"> náročnost, která v současné době vzniká </w:t>
      </w:r>
      <w:r w:rsidR="00731A7E" w:rsidRPr="007F3D2B">
        <w:rPr>
          <w:rFonts w:ascii="Arial" w:hAnsi="Arial" w:cs="Arial"/>
          <w:sz w:val="20"/>
          <w:szCs w:val="20"/>
        </w:rPr>
        <w:t xml:space="preserve">kvůli </w:t>
      </w:r>
      <w:r w:rsidR="00E745C9" w:rsidRPr="007F3D2B">
        <w:rPr>
          <w:rFonts w:ascii="Arial" w:hAnsi="Arial" w:cs="Arial"/>
          <w:sz w:val="20"/>
          <w:szCs w:val="20"/>
        </w:rPr>
        <w:t>složitosti zadávacího řízení.</w:t>
      </w:r>
    </w:p>
    <w:p w:rsidR="00824171" w:rsidRPr="007F3D2B" w:rsidRDefault="00824171" w:rsidP="007F3D2B">
      <w:pPr>
        <w:pStyle w:val="Zkladntext"/>
        <w:spacing w:before="120" w:after="0" w:line="276" w:lineRule="auto"/>
        <w:jc w:val="both"/>
        <w:rPr>
          <w:rFonts w:ascii="Arial" w:hAnsi="Arial" w:cs="Arial"/>
          <w:sz w:val="20"/>
          <w:szCs w:val="20"/>
        </w:rPr>
      </w:pPr>
    </w:p>
    <w:p w:rsidR="00A9565F" w:rsidRPr="007F3D2B" w:rsidRDefault="002B0191" w:rsidP="007F3D2B">
      <w:pPr>
        <w:pStyle w:val="Zkladntext"/>
        <w:spacing w:before="120" w:after="0" w:line="276" w:lineRule="auto"/>
        <w:jc w:val="both"/>
        <w:rPr>
          <w:rFonts w:ascii="Arial" w:hAnsi="Arial" w:cs="Arial"/>
          <w:sz w:val="20"/>
          <w:szCs w:val="20"/>
          <w:lang w:eastAsia="en-US"/>
        </w:rPr>
      </w:pPr>
      <w:r w:rsidRPr="007F3D2B">
        <w:rPr>
          <w:rFonts w:ascii="Arial" w:hAnsi="Arial" w:cs="Arial"/>
          <w:sz w:val="20"/>
          <w:szCs w:val="20"/>
        </w:rPr>
        <w:t>Administrativní náročnost</w:t>
      </w:r>
      <w:r w:rsidR="00E745C9" w:rsidRPr="007F3D2B">
        <w:rPr>
          <w:rFonts w:ascii="Arial" w:hAnsi="Arial" w:cs="Arial"/>
          <w:sz w:val="20"/>
          <w:szCs w:val="20"/>
        </w:rPr>
        <w:t xml:space="preserve"> zákona o veřejných zakázkách</w:t>
      </w:r>
      <w:r w:rsidR="00A9565F" w:rsidRPr="007F3D2B">
        <w:rPr>
          <w:rFonts w:ascii="Arial" w:hAnsi="Arial" w:cs="Arial"/>
          <w:sz w:val="20"/>
          <w:szCs w:val="20"/>
          <w:lang w:eastAsia="en-US"/>
        </w:rPr>
        <w:t xml:space="preserve"> přináší i riziko finanční, a to na základě provedených administrativních úkonů, které se dají v některých zadávacích procesech zjednodušit. Stejně tak zbytečně opakovaná zadávací řízení </w:t>
      </w:r>
      <w:r w:rsidR="003F6EE3" w:rsidRPr="007F3D2B">
        <w:rPr>
          <w:rFonts w:ascii="Arial" w:hAnsi="Arial" w:cs="Arial"/>
          <w:sz w:val="20"/>
          <w:szCs w:val="20"/>
          <w:lang w:eastAsia="en-US"/>
        </w:rPr>
        <w:t>představují</w:t>
      </w:r>
      <w:r w:rsidR="00A9565F" w:rsidRPr="007F3D2B">
        <w:rPr>
          <w:rFonts w:ascii="Arial" w:hAnsi="Arial" w:cs="Arial"/>
          <w:sz w:val="20"/>
          <w:szCs w:val="20"/>
          <w:lang w:eastAsia="en-US"/>
        </w:rPr>
        <w:t xml:space="preserve"> určité finanční ztráty.</w:t>
      </w:r>
    </w:p>
    <w:p w:rsidR="003F6EE3" w:rsidRPr="007F3D2B" w:rsidRDefault="003F6EE3" w:rsidP="007F3D2B">
      <w:pPr>
        <w:pStyle w:val="Zkladntext"/>
        <w:spacing w:before="120" w:after="0" w:line="276" w:lineRule="auto"/>
        <w:jc w:val="both"/>
        <w:rPr>
          <w:rFonts w:ascii="Arial" w:hAnsi="Arial" w:cs="Arial"/>
          <w:sz w:val="20"/>
          <w:szCs w:val="20"/>
          <w:lang w:eastAsia="en-US"/>
        </w:rPr>
      </w:pPr>
    </w:p>
    <w:p w:rsidR="008C41F2" w:rsidRPr="007F3D2B" w:rsidRDefault="00B54B9E"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V souvislosti s neimplementací směrnic je nutné také upozornit na riziko, že Evropský soudní dvůr </w:t>
      </w:r>
      <w:r w:rsidR="00731A7E" w:rsidRPr="007F3D2B">
        <w:rPr>
          <w:rFonts w:ascii="Arial" w:hAnsi="Arial" w:cs="Arial"/>
          <w:sz w:val="20"/>
          <w:szCs w:val="20"/>
          <w:lang w:eastAsia="en-US"/>
        </w:rPr>
        <w:t xml:space="preserve">(Soudní dvůr EU) </w:t>
      </w:r>
      <w:r w:rsidRPr="007F3D2B">
        <w:rPr>
          <w:rFonts w:ascii="Arial" w:hAnsi="Arial" w:cs="Arial"/>
          <w:sz w:val="20"/>
          <w:szCs w:val="20"/>
          <w:lang w:eastAsia="en-US"/>
        </w:rPr>
        <w:t>svou judikaturou stanovil zásadu přímého účinku. To pro členský stát znamen</w:t>
      </w:r>
      <w:r w:rsidR="00731A7E" w:rsidRPr="007F3D2B">
        <w:rPr>
          <w:rFonts w:ascii="Arial" w:hAnsi="Arial" w:cs="Arial"/>
          <w:sz w:val="20"/>
          <w:szCs w:val="20"/>
          <w:lang w:eastAsia="en-US"/>
        </w:rPr>
        <w:t>á</w:t>
      </w:r>
      <w:r w:rsidRPr="007F3D2B">
        <w:rPr>
          <w:rFonts w:ascii="Arial" w:hAnsi="Arial" w:cs="Arial"/>
          <w:sz w:val="20"/>
          <w:szCs w:val="20"/>
          <w:lang w:eastAsia="en-US"/>
        </w:rPr>
        <w:t>, že neimplementovaná směrnice bude závazná v podobě, která byla Radou EU schválena.</w:t>
      </w:r>
      <w:r w:rsidR="00625C12" w:rsidRPr="007F3D2B">
        <w:rPr>
          <w:rFonts w:ascii="Arial" w:hAnsi="Arial" w:cs="Arial"/>
          <w:sz w:val="20"/>
          <w:szCs w:val="20"/>
          <w:lang w:eastAsia="en-US"/>
        </w:rPr>
        <w:t xml:space="preserve"> </w:t>
      </w:r>
      <w:r w:rsidR="008C41F2" w:rsidRPr="007F3D2B">
        <w:rPr>
          <w:rFonts w:ascii="Arial" w:hAnsi="Arial" w:cs="Arial"/>
          <w:sz w:val="20"/>
          <w:szCs w:val="20"/>
          <w:lang w:eastAsia="en-US"/>
        </w:rPr>
        <w:t>Současně</w:t>
      </w:r>
      <w:r w:rsidR="00CB2700" w:rsidRPr="007F3D2B">
        <w:rPr>
          <w:rFonts w:ascii="Arial" w:hAnsi="Arial" w:cs="Arial"/>
          <w:sz w:val="20"/>
          <w:szCs w:val="20"/>
          <w:lang w:eastAsia="en-US"/>
        </w:rPr>
        <w:t xml:space="preserve"> </w:t>
      </w:r>
      <w:r w:rsidR="007F6D85" w:rsidRPr="007F3D2B">
        <w:rPr>
          <w:rFonts w:ascii="Arial" w:hAnsi="Arial" w:cs="Arial"/>
          <w:sz w:val="20"/>
          <w:szCs w:val="20"/>
          <w:lang w:eastAsia="en-US"/>
        </w:rPr>
        <w:t xml:space="preserve">by hrozila žaloba </w:t>
      </w:r>
      <w:r w:rsidR="00957801" w:rsidRPr="007F3D2B">
        <w:rPr>
          <w:rFonts w:ascii="Arial" w:hAnsi="Arial" w:cs="Arial"/>
          <w:sz w:val="20"/>
          <w:szCs w:val="20"/>
          <w:lang w:eastAsia="en-US"/>
        </w:rPr>
        <w:t>K</w:t>
      </w:r>
      <w:r w:rsidR="007F6D85" w:rsidRPr="007F3D2B">
        <w:rPr>
          <w:rFonts w:ascii="Arial" w:hAnsi="Arial" w:cs="Arial"/>
          <w:sz w:val="20"/>
          <w:szCs w:val="20"/>
          <w:lang w:eastAsia="en-US"/>
        </w:rPr>
        <w:t xml:space="preserve">omise proti České republice. </w:t>
      </w:r>
    </w:p>
    <w:p w:rsidR="00B54B9E" w:rsidRPr="007F3D2B" w:rsidRDefault="00B54B9E" w:rsidP="007F3D2B">
      <w:pPr>
        <w:pStyle w:val="Zkladntext"/>
        <w:spacing w:before="120" w:after="0" w:line="276" w:lineRule="auto"/>
        <w:jc w:val="both"/>
        <w:rPr>
          <w:rFonts w:ascii="Arial" w:hAnsi="Arial" w:cs="Arial"/>
          <w:sz w:val="20"/>
          <w:szCs w:val="20"/>
          <w:lang w:eastAsia="en-US"/>
        </w:rPr>
      </w:pPr>
    </w:p>
    <w:p w:rsidR="00B54B9E" w:rsidRPr="007F3D2B" w:rsidRDefault="00B54B9E" w:rsidP="007F3D2B">
      <w:pPr>
        <w:pStyle w:val="Zkladntext"/>
        <w:spacing w:before="120" w:after="0" w:line="276" w:lineRule="auto"/>
        <w:jc w:val="both"/>
        <w:rPr>
          <w:rFonts w:ascii="Arial" w:hAnsi="Arial" w:cs="Arial"/>
          <w:sz w:val="20"/>
          <w:szCs w:val="20"/>
          <w:lang w:eastAsia="en-US"/>
        </w:rPr>
      </w:pPr>
    </w:p>
    <w:p w:rsidR="007C6E9E" w:rsidRPr="007F3D2B" w:rsidRDefault="008D42E8" w:rsidP="007F3D2B">
      <w:pPr>
        <w:pStyle w:val="Odstavecseseznamem"/>
        <w:numPr>
          <w:ilvl w:val="0"/>
          <w:numId w:val="11"/>
        </w:numPr>
        <w:spacing w:before="120" w:line="276" w:lineRule="auto"/>
        <w:rPr>
          <w:rFonts w:ascii="Arial" w:hAnsi="Arial" w:cs="Arial"/>
          <w:b/>
          <w:sz w:val="20"/>
        </w:rPr>
      </w:pPr>
      <w:r w:rsidRPr="007F3D2B">
        <w:rPr>
          <w:rFonts w:ascii="Arial" w:hAnsi="Arial" w:cs="Arial"/>
          <w:b/>
          <w:sz w:val="20"/>
        </w:rPr>
        <w:t>Návrh variant řešení</w:t>
      </w:r>
    </w:p>
    <w:p w:rsidR="003579E3" w:rsidRPr="007F3D2B" w:rsidRDefault="003579E3" w:rsidP="007F3D2B">
      <w:pPr>
        <w:spacing w:before="120" w:line="276" w:lineRule="auto"/>
        <w:jc w:val="both"/>
        <w:rPr>
          <w:rFonts w:ascii="Arial" w:hAnsi="Arial" w:cs="Arial"/>
          <w:b/>
          <w:sz w:val="20"/>
          <w:szCs w:val="20"/>
          <w:lang w:eastAsia="en-US"/>
        </w:rPr>
      </w:pPr>
    </w:p>
    <w:p w:rsidR="00FC0193" w:rsidRPr="007F3D2B" w:rsidRDefault="00D261A5"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Níže uvedené okruhy jsou z hlediska rekodifikace v oblasti veřejných zakázek považovány za diskutabilní, a proto jsou uváděny ve variantách.</w:t>
      </w:r>
    </w:p>
    <w:p w:rsidR="007F3D2B" w:rsidRPr="007F3D2B" w:rsidRDefault="007F3D2B" w:rsidP="007F3D2B">
      <w:pPr>
        <w:spacing w:before="120" w:line="276" w:lineRule="auto"/>
        <w:jc w:val="both"/>
        <w:rPr>
          <w:rFonts w:ascii="Arial" w:hAnsi="Arial" w:cs="Arial"/>
          <w:sz w:val="20"/>
          <w:szCs w:val="20"/>
        </w:rPr>
      </w:pPr>
    </w:p>
    <w:p w:rsidR="0081585B" w:rsidRPr="007F3D2B" w:rsidRDefault="00314E5F"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lastRenderedPageBreak/>
        <w:t>A</w:t>
      </w:r>
      <w:r w:rsidR="00731A7E" w:rsidRPr="007F3D2B">
        <w:rPr>
          <w:rFonts w:ascii="Arial" w:hAnsi="Arial" w:cs="Arial"/>
          <w:b/>
          <w:sz w:val="20"/>
          <w:szCs w:val="20"/>
          <w:lang w:eastAsia="en-US"/>
        </w:rPr>
        <w:t>.</w:t>
      </w:r>
      <w:r w:rsidRPr="007F3D2B">
        <w:rPr>
          <w:rFonts w:ascii="Arial" w:hAnsi="Arial" w:cs="Arial"/>
          <w:b/>
          <w:sz w:val="20"/>
          <w:szCs w:val="20"/>
          <w:lang w:eastAsia="en-US"/>
        </w:rPr>
        <w:t xml:space="preserve"> </w:t>
      </w:r>
      <w:r w:rsidR="0081585B" w:rsidRPr="007F3D2B">
        <w:rPr>
          <w:rFonts w:ascii="Arial" w:hAnsi="Arial" w:cs="Arial"/>
          <w:b/>
          <w:sz w:val="20"/>
          <w:szCs w:val="20"/>
          <w:lang w:eastAsia="en-US"/>
        </w:rPr>
        <w:t xml:space="preserve">Limity pro </w:t>
      </w:r>
      <w:r w:rsidR="00C45E29" w:rsidRPr="007F3D2B">
        <w:rPr>
          <w:rFonts w:ascii="Arial" w:hAnsi="Arial" w:cs="Arial"/>
          <w:b/>
          <w:sz w:val="20"/>
          <w:szCs w:val="20"/>
          <w:lang w:eastAsia="en-US"/>
        </w:rPr>
        <w:t>ne</w:t>
      </w:r>
      <w:r w:rsidR="0081585B" w:rsidRPr="007F3D2B">
        <w:rPr>
          <w:rFonts w:ascii="Arial" w:hAnsi="Arial" w:cs="Arial"/>
          <w:b/>
          <w:sz w:val="20"/>
          <w:szCs w:val="20"/>
          <w:lang w:eastAsia="en-US"/>
        </w:rPr>
        <w:t>povinný postup podle nového zákona o veřejných zakázkách</w:t>
      </w:r>
      <w:r w:rsidR="00C45E29" w:rsidRPr="007F3D2B">
        <w:rPr>
          <w:rFonts w:ascii="Arial" w:hAnsi="Arial" w:cs="Arial"/>
          <w:b/>
          <w:sz w:val="20"/>
          <w:szCs w:val="20"/>
          <w:lang w:eastAsia="en-US"/>
        </w:rPr>
        <w:t xml:space="preserve"> (</w:t>
      </w:r>
      <w:r w:rsidR="00731A7E" w:rsidRPr="007F3D2B">
        <w:rPr>
          <w:rFonts w:ascii="Arial" w:hAnsi="Arial" w:cs="Arial"/>
          <w:b/>
          <w:sz w:val="20"/>
          <w:szCs w:val="20"/>
          <w:lang w:eastAsia="en-US"/>
        </w:rPr>
        <w:t>v</w:t>
      </w:r>
      <w:r w:rsidR="00C45E29" w:rsidRPr="007F3D2B">
        <w:rPr>
          <w:rFonts w:ascii="Arial" w:hAnsi="Arial" w:cs="Arial"/>
          <w:b/>
          <w:sz w:val="20"/>
          <w:szCs w:val="20"/>
          <w:lang w:eastAsia="en-US"/>
        </w:rPr>
        <w:t>eřejné zakázky malého rozsahu)</w:t>
      </w:r>
    </w:p>
    <w:p w:rsidR="0022545C" w:rsidRPr="007F3D2B" w:rsidRDefault="0022545C" w:rsidP="007F3D2B">
      <w:pPr>
        <w:spacing w:before="120" w:line="276" w:lineRule="auto"/>
        <w:jc w:val="both"/>
        <w:rPr>
          <w:rFonts w:ascii="Arial" w:hAnsi="Arial" w:cs="Arial"/>
          <w:b/>
          <w:sz w:val="20"/>
          <w:szCs w:val="20"/>
          <w:lang w:eastAsia="en-US"/>
        </w:rPr>
      </w:pPr>
    </w:p>
    <w:p w:rsidR="00C45E29" w:rsidRPr="007F3D2B" w:rsidRDefault="00A93EC2" w:rsidP="007F3D2B">
      <w:pPr>
        <w:spacing w:before="120" w:line="276" w:lineRule="auto"/>
        <w:jc w:val="both"/>
        <w:rPr>
          <w:rFonts w:ascii="Arial" w:hAnsi="Arial" w:cs="Arial"/>
          <w:sz w:val="20"/>
          <w:szCs w:val="20"/>
        </w:rPr>
      </w:pPr>
      <w:r w:rsidRPr="007F3D2B">
        <w:rPr>
          <w:rFonts w:ascii="Arial" w:hAnsi="Arial" w:cs="Arial"/>
          <w:sz w:val="20"/>
          <w:szCs w:val="20"/>
        </w:rPr>
        <w:t>V </w:t>
      </w:r>
      <w:r w:rsidR="00357854" w:rsidRPr="007F3D2B">
        <w:rPr>
          <w:rFonts w:ascii="Arial" w:hAnsi="Arial" w:cs="Arial"/>
          <w:sz w:val="20"/>
          <w:szCs w:val="20"/>
        </w:rPr>
        <w:t>I</w:t>
      </w:r>
      <w:r w:rsidRPr="007F3D2B">
        <w:rPr>
          <w:rFonts w:ascii="Arial" w:hAnsi="Arial" w:cs="Arial"/>
          <w:sz w:val="20"/>
          <w:szCs w:val="20"/>
        </w:rPr>
        <w:t xml:space="preserve">nformačním systému o veřejných zakázkách jsou shromažďovány údaje </w:t>
      </w:r>
      <w:r w:rsidR="00A62EDD" w:rsidRPr="007F3D2B">
        <w:rPr>
          <w:rFonts w:ascii="Arial" w:hAnsi="Arial" w:cs="Arial"/>
          <w:sz w:val="20"/>
          <w:szCs w:val="20"/>
        </w:rPr>
        <w:t>o</w:t>
      </w:r>
      <w:r w:rsidRPr="007F3D2B">
        <w:rPr>
          <w:rFonts w:ascii="Arial" w:hAnsi="Arial" w:cs="Arial"/>
          <w:sz w:val="20"/>
          <w:szCs w:val="20"/>
        </w:rPr>
        <w:t xml:space="preserve"> </w:t>
      </w:r>
      <w:r w:rsidR="00A62EDD" w:rsidRPr="007F3D2B">
        <w:rPr>
          <w:rFonts w:ascii="Arial" w:hAnsi="Arial" w:cs="Arial"/>
          <w:sz w:val="20"/>
          <w:szCs w:val="20"/>
        </w:rPr>
        <w:t>veřejných zakáz</w:t>
      </w:r>
      <w:r w:rsidR="00687331" w:rsidRPr="007F3D2B">
        <w:rPr>
          <w:rFonts w:ascii="Arial" w:hAnsi="Arial" w:cs="Arial"/>
          <w:sz w:val="20"/>
          <w:szCs w:val="20"/>
        </w:rPr>
        <w:t>ká</w:t>
      </w:r>
      <w:r w:rsidR="00A62EDD" w:rsidRPr="007F3D2B">
        <w:rPr>
          <w:rFonts w:ascii="Arial" w:hAnsi="Arial" w:cs="Arial"/>
          <w:sz w:val="20"/>
          <w:szCs w:val="20"/>
        </w:rPr>
        <w:t>ch</w:t>
      </w:r>
      <w:r w:rsidRPr="007F3D2B">
        <w:rPr>
          <w:rFonts w:ascii="Arial" w:hAnsi="Arial" w:cs="Arial"/>
          <w:sz w:val="20"/>
          <w:szCs w:val="20"/>
        </w:rPr>
        <w:t>, které jsou zadávány v zadávacím řízení a jsou oznamovány ve Věstníku veřejných zakázek. Tyto veřejné zakázky tvoří co do objemu finančních prostředků přes 60 % trhu veřejných zakázek. Zbývajících 40 % finančních prostředků je alokováno prostřednictvím veřejných zakázek malého rozsahu nebo na základě výjimek definovaných ZVZ. Tato skutečnost však neznamená, že by bylo 40 % finančních prostředků alokováno bez jakékoli kontroly či evidence. Tyto prostředky jsou evidovány v účetních systémech jednotlivých zadavatelů</w:t>
      </w:r>
      <w:r w:rsidR="00A62EDD" w:rsidRPr="007F3D2B">
        <w:rPr>
          <w:rFonts w:ascii="Arial" w:hAnsi="Arial" w:cs="Arial"/>
          <w:sz w:val="20"/>
          <w:szCs w:val="20"/>
        </w:rPr>
        <w:t xml:space="preserve">. </w:t>
      </w:r>
      <w:r w:rsidRPr="007F3D2B">
        <w:rPr>
          <w:rFonts w:ascii="Arial" w:hAnsi="Arial" w:cs="Arial"/>
          <w:sz w:val="20"/>
          <w:szCs w:val="20"/>
        </w:rPr>
        <w:t>Veřejné zakázky malého rozsahu nepodléhají žádné centrální evidenci, avšak nelze opominout, že transparentnost postupů při jejich zadávání je vůči veřejnosti zajišťována povinností uveřejňovat uzavřenou smlouvu</w:t>
      </w:r>
      <w:r w:rsidR="00E25288">
        <w:rPr>
          <w:rFonts w:ascii="Arial" w:hAnsi="Arial" w:cs="Arial"/>
          <w:sz w:val="20"/>
          <w:szCs w:val="20"/>
        </w:rPr>
        <w:t>, jejíž cena přesáhne 500 000</w:t>
      </w:r>
      <w:r w:rsidR="009A31A6" w:rsidRPr="007F3D2B">
        <w:rPr>
          <w:rFonts w:ascii="Arial" w:hAnsi="Arial" w:cs="Arial"/>
          <w:sz w:val="20"/>
          <w:szCs w:val="20"/>
        </w:rPr>
        <w:t xml:space="preserve"> Kč, </w:t>
      </w:r>
      <w:r w:rsidRPr="007F3D2B">
        <w:rPr>
          <w:rFonts w:ascii="Arial" w:hAnsi="Arial" w:cs="Arial"/>
          <w:sz w:val="20"/>
          <w:szCs w:val="20"/>
        </w:rPr>
        <w:t>na profilu zadavatele.</w:t>
      </w:r>
    </w:p>
    <w:p w:rsidR="00D240FB" w:rsidRPr="007F3D2B" w:rsidRDefault="00D240FB" w:rsidP="007F3D2B">
      <w:pPr>
        <w:spacing w:before="120" w:line="276" w:lineRule="auto"/>
        <w:jc w:val="both"/>
        <w:rPr>
          <w:rFonts w:ascii="Arial" w:hAnsi="Arial" w:cs="Arial"/>
          <w:b/>
          <w:sz w:val="20"/>
          <w:szCs w:val="20"/>
          <w:lang w:eastAsia="en-US"/>
        </w:rPr>
      </w:pPr>
    </w:p>
    <w:p w:rsidR="00C7027D" w:rsidRPr="007F3D2B" w:rsidRDefault="006849D1"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Varianta 1 –</w:t>
      </w:r>
      <w:r w:rsidR="00314E5F" w:rsidRPr="007F3D2B">
        <w:rPr>
          <w:rFonts w:ascii="Arial" w:hAnsi="Arial" w:cs="Arial"/>
          <w:b/>
          <w:sz w:val="20"/>
          <w:szCs w:val="20"/>
          <w:lang w:eastAsia="en-US"/>
        </w:rPr>
        <w:t xml:space="preserve"> </w:t>
      </w:r>
      <w:r w:rsidR="004053BD" w:rsidRPr="007F3D2B">
        <w:rPr>
          <w:rFonts w:ascii="Arial" w:hAnsi="Arial" w:cs="Arial"/>
          <w:b/>
          <w:sz w:val="20"/>
          <w:szCs w:val="20"/>
          <w:lang w:eastAsia="en-US"/>
        </w:rPr>
        <w:t>nulová varianta</w:t>
      </w:r>
    </w:p>
    <w:p w:rsidR="00B65664" w:rsidRPr="007F3D2B" w:rsidRDefault="00B65664" w:rsidP="007F3D2B">
      <w:pPr>
        <w:spacing w:before="120" w:line="276" w:lineRule="auto"/>
        <w:jc w:val="both"/>
        <w:rPr>
          <w:rFonts w:ascii="Arial" w:hAnsi="Arial" w:cs="Arial"/>
          <w:sz w:val="20"/>
          <w:szCs w:val="20"/>
          <w:lang w:eastAsia="en-US"/>
        </w:rPr>
      </w:pPr>
    </w:p>
    <w:p w:rsidR="00196DE3" w:rsidRPr="007F3D2B" w:rsidRDefault="004D03C7"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B65664" w:rsidRPr="007F3D2B" w:rsidRDefault="004053BD"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w:t>
      </w:r>
      <w:r w:rsidR="004D03C7" w:rsidRPr="007F3D2B">
        <w:rPr>
          <w:rFonts w:ascii="Arial" w:hAnsi="Arial" w:cs="Arial"/>
          <w:sz w:val="20"/>
          <w:szCs w:val="20"/>
          <w:lang w:eastAsia="en-US"/>
        </w:rPr>
        <w:t>achování současného stavu upraven</w:t>
      </w:r>
      <w:r w:rsidR="00314E5F" w:rsidRPr="007F3D2B">
        <w:rPr>
          <w:rFonts w:ascii="Arial" w:hAnsi="Arial" w:cs="Arial"/>
          <w:sz w:val="20"/>
          <w:szCs w:val="20"/>
          <w:lang w:eastAsia="en-US"/>
        </w:rPr>
        <w:t>ého dle stávající právní úpravy</w:t>
      </w:r>
      <w:r w:rsidR="004D03C7" w:rsidRPr="007F3D2B">
        <w:rPr>
          <w:rFonts w:ascii="Arial" w:hAnsi="Arial" w:cs="Arial"/>
          <w:sz w:val="20"/>
          <w:szCs w:val="20"/>
          <w:lang w:eastAsia="en-US"/>
        </w:rPr>
        <w:t>.</w:t>
      </w:r>
      <w:r w:rsidR="00314E5F" w:rsidRPr="007F3D2B">
        <w:rPr>
          <w:rFonts w:ascii="Arial" w:hAnsi="Arial" w:cs="Arial"/>
          <w:sz w:val="20"/>
          <w:szCs w:val="20"/>
          <w:lang w:eastAsia="en-US"/>
        </w:rPr>
        <w:t xml:space="preserve"> </w:t>
      </w:r>
      <w:r w:rsidR="004D03C7" w:rsidRPr="007F3D2B">
        <w:rPr>
          <w:rFonts w:ascii="Arial" w:hAnsi="Arial" w:cs="Arial"/>
          <w:sz w:val="20"/>
          <w:szCs w:val="20"/>
          <w:lang w:eastAsia="en-US"/>
        </w:rPr>
        <w:t>Pro prahové hodnoty veřejných zakázek malého rozsahu navrhuje MMR zachování současného stavu</w:t>
      </w:r>
      <w:r w:rsidR="00C45E29" w:rsidRPr="007F3D2B">
        <w:rPr>
          <w:rFonts w:ascii="Arial" w:hAnsi="Arial" w:cs="Arial"/>
          <w:sz w:val="20"/>
          <w:szCs w:val="20"/>
          <w:lang w:eastAsia="en-US"/>
        </w:rPr>
        <w:t xml:space="preserve"> v zákoně o veřejných zakázkách</w:t>
      </w:r>
      <w:r w:rsidR="004D03C7" w:rsidRPr="007F3D2B">
        <w:rPr>
          <w:rFonts w:ascii="Arial" w:hAnsi="Arial" w:cs="Arial"/>
          <w:sz w:val="20"/>
          <w:szCs w:val="20"/>
          <w:lang w:eastAsia="en-US"/>
        </w:rPr>
        <w:t>, tedy 2 mil. pro dodávky a služby</w:t>
      </w:r>
      <w:r w:rsidR="00BF28B6" w:rsidRPr="007F3D2B">
        <w:rPr>
          <w:rFonts w:ascii="Arial" w:hAnsi="Arial" w:cs="Arial"/>
          <w:sz w:val="20"/>
          <w:szCs w:val="20"/>
          <w:lang w:eastAsia="en-US"/>
        </w:rPr>
        <w:t xml:space="preserve"> a</w:t>
      </w:r>
      <w:r w:rsidR="004D03C7" w:rsidRPr="007F3D2B">
        <w:rPr>
          <w:rFonts w:ascii="Arial" w:hAnsi="Arial" w:cs="Arial"/>
          <w:sz w:val="20"/>
          <w:szCs w:val="20"/>
          <w:lang w:eastAsia="en-US"/>
        </w:rPr>
        <w:t xml:space="preserve"> 6 mil. Kč pro stavební práce</w:t>
      </w:r>
      <w:r w:rsidR="00314E5F" w:rsidRPr="007F3D2B">
        <w:rPr>
          <w:rFonts w:ascii="Arial" w:hAnsi="Arial" w:cs="Arial"/>
          <w:sz w:val="20"/>
          <w:szCs w:val="20"/>
          <w:lang w:eastAsia="en-US"/>
        </w:rPr>
        <w:t xml:space="preserve">. Jedná se o výši, která se již osvědčila v současném ZVZ, o čemž svědčí i její nedávné </w:t>
      </w:r>
      <w:r w:rsidR="00052903" w:rsidRPr="007F3D2B">
        <w:rPr>
          <w:rFonts w:ascii="Arial" w:hAnsi="Arial" w:cs="Arial"/>
          <w:sz w:val="20"/>
          <w:szCs w:val="20"/>
          <w:lang w:eastAsia="en-US"/>
        </w:rPr>
        <w:t>opětovné zakotvení</w:t>
      </w:r>
      <w:r w:rsidR="00314E5F" w:rsidRPr="007F3D2B">
        <w:rPr>
          <w:rFonts w:ascii="Arial" w:hAnsi="Arial" w:cs="Arial"/>
          <w:sz w:val="20"/>
          <w:szCs w:val="20"/>
          <w:lang w:eastAsia="en-US"/>
        </w:rPr>
        <w:t>.</w:t>
      </w:r>
    </w:p>
    <w:p w:rsidR="00C45E29" w:rsidRPr="007F3D2B" w:rsidRDefault="00C45E29" w:rsidP="007F3D2B">
      <w:pPr>
        <w:spacing w:before="120" w:line="276" w:lineRule="auto"/>
        <w:jc w:val="both"/>
        <w:rPr>
          <w:rFonts w:ascii="Arial" w:hAnsi="Arial" w:cs="Arial"/>
          <w:sz w:val="20"/>
          <w:szCs w:val="20"/>
          <w:lang w:eastAsia="en-US"/>
        </w:rPr>
      </w:pPr>
    </w:p>
    <w:p w:rsidR="00196DE3" w:rsidRPr="007F3D2B" w:rsidRDefault="004D03C7"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C45E29" w:rsidRPr="007F3D2B">
        <w:rPr>
          <w:rFonts w:ascii="Arial" w:hAnsi="Arial" w:cs="Arial"/>
          <w:sz w:val="20"/>
          <w:szCs w:val="20"/>
          <w:lang w:eastAsia="en-US"/>
        </w:rPr>
        <w:t xml:space="preserve"> </w:t>
      </w:r>
    </w:p>
    <w:p w:rsidR="00981CF9" w:rsidRPr="007F3D2B" w:rsidRDefault="006345D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Obecně lze říci, že hlavním rizikem je nepřiměřené nastavení limitů. Nastavení příliš nízkých limitů by vedlo k nepřiměřené administrativní náročnosti zadávacího procesu v případě veřejných zakázek, jejichž předpokládaná hodnota je zanedbatelná. Opačný případ, tedy stanovení příliš vysokých limitů by naopak vedlo k situaci, kdy by mimo režim zákona byly zadávány veřejné zakázky, jejichž předpokládaná hodnota dosahuje významnějších částek.</w:t>
      </w:r>
    </w:p>
    <w:p w:rsidR="00B65664" w:rsidRPr="007F3D2B" w:rsidRDefault="00B65664" w:rsidP="007F3D2B">
      <w:pPr>
        <w:spacing w:before="120" w:line="276" w:lineRule="auto"/>
        <w:jc w:val="both"/>
        <w:rPr>
          <w:rFonts w:ascii="Arial" w:hAnsi="Arial" w:cs="Arial"/>
          <w:sz w:val="20"/>
          <w:szCs w:val="20"/>
          <w:lang w:eastAsia="en-US"/>
        </w:rPr>
      </w:pPr>
    </w:p>
    <w:p w:rsidR="00B80926" w:rsidRPr="007F3D2B" w:rsidRDefault="00B80926"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Varianta</w:t>
      </w:r>
      <w:r w:rsidR="00423263" w:rsidRPr="007F3D2B">
        <w:rPr>
          <w:rFonts w:ascii="Arial" w:hAnsi="Arial" w:cs="Arial"/>
          <w:b/>
          <w:sz w:val="20"/>
          <w:szCs w:val="20"/>
          <w:lang w:eastAsia="en-US"/>
        </w:rPr>
        <w:t xml:space="preserve"> 2</w:t>
      </w:r>
      <w:r w:rsidRPr="007F3D2B">
        <w:rPr>
          <w:rFonts w:ascii="Arial" w:hAnsi="Arial" w:cs="Arial"/>
          <w:b/>
          <w:sz w:val="20"/>
          <w:szCs w:val="20"/>
          <w:lang w:eastAsia="en-US"/>
        </w:rPr>
        <w:t xml:space="preserve"> – </w:t>
      </w:r>
      <w:r w:rsidR="00C45E29" w:rsidRPr="007F3D2B">
        <w:rPr>
          <w:rFonts w:ascii="Arial" w:hAnsi="Arial" w:cs="Arial"/>
          <w:b/>
          <w:sz w:val="20"/>
          <w:szCs w:val="20"/>
          <w:lang w:eastAsia="en-US"/>
        </w:rPr>
        <w:t>snížení stávajících limitů</w:t>
      </w:r>
    </w:p>
    <w:p w:rsidR="00C45E29" w:rsidRPr="007F3D2B" w:rsidRDefault="00C45E29" w:rsidP="007F3D2B">
      <w:pPr>
        <w:spacing w:before="120" w:line="276" w:lineRule="auto"/>
        <w:jc w:val="both"/>
        <w:rPr>
          <w:rFonts w:ascii="Arial" w:hAnsi="Arial" w:cs="Arial"/>
          <w:b/>
          <w:sz w:val="20"/>
          <w:szCs w:val="20"/>
          <w:lang w:eastAsia="en-US"/>
        </w:rPr>
      </w:pPr>
    </w:p>
    <w:p w:rsidR="00C45E29" w:rsidRPr="007F3D2B" w:rsidRDefault="00C45E2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C45E29" w:rsidRPr="007F3D2B" w:rsidRDefault="00C45E2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Jako prahové hodnoty veřejných zakázek malého rozsahu lze stanovit nižší limit než uvedený ve variantě 1</w:t>
      </w:r>
      <w:r w:rsidR="00AA737C" w:rsidRPr="007F3D2B">
        <w:rPr>
          <w:rFonts w:ascii="Arial" w:hAnsi="Arial" w:cs="Arial"/>
          <w:sz w:val="20"/>
          <w:szCs w:val="20"/>
          <w:lang w:eastAsia="en-US"/>
        </w:rPr>
        <w:t>.</w:t>
      </w:r>
    </w:p>
    <w:p w:rsidR="00C45E29" w:rsidRPr="007F3D2B" w:rsidRDefault="00C45E29" w:rsidP="007F3D2B">
      <w:pPr>
        <w:spacing w:before="120" w:line="276" w:lineRule="auto"/>
        <w:jc w:val="both"/>
        <w:rPr>
          <w:rFonts w:ascii="Arial" w:hAnsi="Arial" w:cs="Arial"/>
          <w:sz w:val="20"/>
          <w:szCs w:val="20"/>
          <w:lang w:eastAsia="en-US"/>
        </w:rPr>
      </w:pPr>
    </w:p>
    <w:p w:rsidR="00C45E29" w:rsidRPr="007F3D2B" w:rsidRDefault="00C45E2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6345D9" w:rsidRPr="007F3D2B">
        <w:rPr>
          <w:rFonts w:ascii="Arial" w:hAnsi="Arial" w:cs="Arial"/>
          <w:sz w:val="20"/>
          <w:szCs w:val="20"/>
          <w:lang w:eastAsia="en-US"/>
        </w:rPr>
        <w:t xml:space="preserve"> a přínosy</w:t>
      </w:r>
      <w:r w:rsidRPr="007F3D2B">
        <w:rPr>
          <w:rFonts w:ascii="Arial" w:hAnsi="Arial" w:cs="Arial"/>
          <w:sz w:val="20"/>
          <w:szCs w:val="20"/>
          <w:lang w:eastAsia="en-US"/>
        </w:rPr>
        <w:t>:</w:t>
      </w:r>
    </w:p>
    <w:p w:rsidR="00C45E29" w:rsidRPr="007F3D2B" w:rsidRDefault="00FC0193"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V rámci stanovení nižšího limitu lze předpokládat, že d</w:t>
      </w:r>
      <w:r w:rsidR="00C45E29" w:rsidRPr="007F3D2B">
        <w:rPr>
          <w:rFonts w:ascii="Arial" w:hAnsi="Arial" w:cs="Arial"/>
          <w:sz w:val="20"/>
          <w:szCs w:val="20"/>
          <w:lang w:eastAsia="en-US"/>
        </w:rPr>
        <w:t xml:space="preserve">ojde ke zvýšení administrativní zátěže </w:t>
      </w:r>
      <w:r w:rsidR="00C34257" w:rsidRPr="007F3D2B">
        <w:rPr>
          <w:rFonts w:ascii="Arial" w:hAnsi="Arial" w:cs="Arial"/>
          <w:sz w:val="20"/>
          <w:szCs w:val="20"/>
          <w:lang w:eastAsia="en-US"/>
        </w:rPr>
        <w:t>a zpomalení procesu zadávání méně nákladných veřejných zakázek. Snížení</w:t>
      </w:r>
      <w:r w:rsidR="00AA737C" w:rsidRPr="007F3D2B">
        <w:rPr>
          <w:rFonts w:ascii="Arial" w:hAnsi="Arial" w:cs="Arial"/>
          <w:sz w:val="20"/>
          <w:szCs w:val="20"/>
          <w:lang w:eastAsia="en-US"/>
        </w:rPr>
        <w:t>m</w:t>
      </w:r>
      <w:r w:rsidR="00C34257" w:rsidRPr="007F3D2B">
        <w:rPr>
          <w:rFonts w:ascii="Arial" w:hAnsi="Arial" w:cs="Arial"/>
          <w:sz w:val="20"/>
          <w:szCs w:val="20"/>
          <w:lang w:eastAsia="en-US"/>
        </w:rPr>
        <w:t xml:space="preserve"> limitů by byla zvýšena transparentnost při zadávání „menších“ zakázek, dle názoru předkladatele by tento krok byl </w:t>
      </w:r>
      <w:r w:rsidR="00AA737C" w:rsidRPr="007F3D2B">
        <w:rPr>
          <w:rFonts w:ascii="Arial" w:hAnsi="Arial" w:cs="Arial"/>
          <w:sz w:val="20"/>
          <w:szCs w:val="20"/>
          <w:lang w:eastAsia="en-US"/>
        </w:rPr>
        <w:t xml:space="preserve">však </w:t>
      </w:r>
      <w:r w:rsidR="00C34257" w:rsidRPr="007F3D2B">
        <w:rPr>
          <w:rFonts w:ascii="Arial" w:hAnsi="Arial" w:cs="Arial"/>
          <w:sz w:val="20"/>
          <w:szCs w:val="20"/>
          <w:lang w:eastAsia="en-US"/>
        </w:rPr>
        <w:t>neefektivní a nepřiměřený.</w:t>
      </w:r>
    </w:p>
    <w:p w:rsidR="007F3D2B" w:rsidRPr="007F3D2B" w:rsidRDefault="007F3D2B" w:rsidP="007F3D2B">
      <w:pPr>
        <w:spacing w:before="120" w:line="276" w:lineRule="auto"/>
        <w:jc w:val="both"/>
        <w:rPr>
          <w:rFonts w:ascii="Arial" w:hAnsi="Arial" w:cs="Arial"/>
          <w:sz w:val="20"/>
          <w:szCs w:val="20"/>
          <w:lang w:eastAsia="en-US"/>
        </w:rPr>
      </w:pPr>
    </w:p>
    <w:p w:rsidR="00C45E29" w:rsidRPr="007F3D2B" w:rsidRDefault="004D03C7"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Varianta 3 – zvýšení stávajících limitů</w:t>
      </w:r>
    </w:p>
    <w:p w:rsidR="00C45E29" w:rsidRPr="007F3D2B" w:rsidRDefault="00C45E29" w:rsidP="007F3D2B">
      <w:pPr>
        <w:spacing w:before="120" w:line="276" w:lineRule="auto"/>
        <w:jc w:val="both"/>
        <w:rPr>
          <w:rFonts w:ascii="Arial" w:hAnsi="Arial" w:cs="Arial"/>
          <w:sz w:val="20"/>
          <w:szCs w:val="20"/>
          <w:lang w:eastAsia="en-US"/>
        </w:rPr>
      </w:pPr>
    </w:p>
    <w:p w:rsidR="00B80926" w:rsidRPr="007F3D2B" w:rsidRDefault="00B8092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lastRenderedPageBreak/>
        <w:t>Popis:</w:t>
      </w:r>
    </w:p>
    <w:p w:rsidR="006345D9" w:rsidRPr="007F3D2B" w:rsidRDefault="00FC0193"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Jako prahové hodnoty veřejných zakázek malého rozsahu lze stanovit vyšší limit než uvedený ve variantě 1</w:t>
      </w:r>
      <w:r w:rsidR="00CC255A" w:rsidRPr="007F3D2B">
        <w:rPr>
          <w:rFonts w:ascii="Arial" w:hAnsi="Arial" w:cs="Arial"/>
          <w:sz w:val="20"/>
          <w:szCs w:val="20"/>
          <w:lang w:eastAsia="en-US"/>
        </w:rPr>
        <w:t>.</w:t>
      </w:r>
      <w:r w:rsidR="006345D9" w:rsidRPr="007F3D2B">
        <w:rPr>
          <w:rFonts w:ascii="Arial" w:hAnsi="Arial" w:cs="Arial"/>
          <w:sz w:val="20"/>
          <w:szCs w:val="20"/>
          <w:lang w:eastAsia="en-US"/>
        </w:rPr>
        <w:t xml:space="preserve"> S ohledem na záměr zadavatele zjednodušit postupy ve zjednodušeném podlimitním řízení lze předpokládat, že zadávání podlimitních zakázek nebude pro zadavatele nadměrně zatěžující a komplikující proces výběru dodavatele, není zde tedy dán důvod pro zvyšování limitů.</w:t>
      </w:r>
    </w:p>
    <w:p w:rsidR="00B80926" w:rsidRPr="007F3D2B" w:rsidRDefault="00B80926" w:rsidP="007F3D2B">
      <w:pPr>
        <w:spacing w:before="120" w:line="276" w:lineRule="auto"/>
        <w:jc w:val="both"/>
        <w:rPr>
          <w:rFonts w:ascii="Arial" w:hAnsi="Arial" w:cs="Arial"/>
          <w:sz w:val="20"/>
          <w:szCs w:val="20"/>
          <w:lang w:eastAsia="en-US"/>
        </w:rPr>
      </w:pPr>
    </w:p>
    <w:p w:rsidR="00B80926" w:rsidRPr="007F3D2B" w:rsidRDefault="00B8092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6345D9" w:rsidRPr="007F3D2B">
        <w:rPr>
          <w:rFonts w:ascii="Arial" w:hAnsi="Arial" w:cs="Arial"/>
          <w:sz w:val="20"/>
          <w:szCs w:val="20"/>
          <w:lang w:eastAsia="en-US"/>
        </w:rPr>
        <w:t xml:space="preserve"> a přínosy</w:t>
      </w:r>
      <w:r w:rsidR="00981CF9" w:rsidRPr="007F3D2B">
        <w:rPr>
          <w:rFonts w:ascii="Arial" w:hAnsi="Arial" w:cs="Arial"/>
          <w:sz w:val="20"/>
          <w:szCs w:val="20"/>
          <w:lang w:eastAsia="en-US"/>
        </w:rPr>
        <w:t>:</w:t>
      </w:r>
    </w:p>
    <w:p w:rsidR="00022BF5" w:rsidRPr="007F3D2B" w:rsidRDefault="00FC0193"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V rámci stanovení vyššího limitu lze předpokládat, že dojde ke snížení transparentnosti</w:t>
      </w:r>
      <w:r w:rsidR="00022BF5" w:rsidRPr="007F3D2B">
        <w:rPr>
          <w:rFonts w:ascii="Arial" w:hAnsi="Arial" w:cs="Arial"/>
          <w:sz w:val="20"/>
          <w:szCs w:val="20"/>
          <w:lang w:eastAsia="en-US"/>
        </w:rPr>
        <w:t>.</w:t>
      </w:r>
      <w:r w:rsidR="006345D9" w:rsidRPr="007F3D2B">
        <w:rPr>
          <w:rFonts w:ascii="Arial" w:hAnsi="Arial" w:cs="Arial"/>
          <w:sz w:val="20"/>
          <w:szCs w:val="20"/>
          <w:lang w:eastAsia="en-US"/>
        </w:rPr>
        <w:t xml:space="preserve"> Přínosem této varianty by pak bezesporu bylo urychlení zadání veřejných zakázek nedosahujících nově stanoveného limitu. </w:t>
      </w:r>
    </w:p>
    <w:p w:rsidR="003C6AA8" w:rsidRPr="007F3D2B" w:rsidRDefault="003C6AA8" w:rsidP="007F3D2B">
      <w:pPr>
        <w:spacing w:before="120" w:line="276" w:lineRule="auto"/>
        <w:jc w:val="both"/>
        <w:rPr>
          <w:rFonts w:ascii="Arial" w:hAnsi="Arial" w:cs="Arial"/>
          <w:sz w:val="20"/>
          <w:szCs w:val="20"/>
          <w:lang w:eastAsia="en-US"/>
        </w:rPr>
      </w:pPr>
    </w:p>
    <w:p w:rsidR="00B80926" w:rsidRPr="007F3D2B" w:rsidRDefault="00B8092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Závěr:</w:t>
      </w:r>
    </w:p>
    <w:p w:rsidR="00B84C4B" w:rsidRDefault="006345D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Předkladatel doporučuje přijetí varianty 1, neboť tato výše se v závislosti na zkušenostech jeví jako adekvátní. </w:t>
      </w:r>
    </w:p>
    <w:p w:rsidR="0087442C" w:rsidRDefault="0087442C" w:rsidP="007F3D2B">
      <w:pPr>
        <w:spacing w:before="120" w:line="276" w:lineRule="auto"/>
        <w:jc w:val="both"/>
        <w:rPr>
          <w:rFonts w:ascii="Arial" w:hAnsi="Arial" w:cs="Arial"/>
          <w:sz w:val="20"/>
          <w:szCs w:val="20"/>
          <w:lang w:eastAsia="en-US"/>
        </w:rPr>
      </w:pPr>
    </w:p>
    <w:p w:rsidR="0087442C" w:rsidRPr="0087442C" w:rsidRDefault="0087442C" w:rsidP="007F3D2B">
      <w:pPr>
        <w:spacing w:before="120" w:line="276" w:lineRule="auto"/>
        <w:jc w:val="both"/>
        <w:rPr>
          <w:rFonts w:ascii="Arial" w:hAnsi="Arial" w:cs="Arial"/>
          <w:sz w:val="20"/>
          <w:szCs w:val="20"/>
          <w:lang w:eastAsia="en-US"/>
        </w:rPr>
      </w:pPr>
    </w:p>
    <w:p w:rsidR="00FC0193" w:rsidRPr="007F3D2B" w:rsidRDefault="007C59DB"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B</w:t>
      </w:r>
      <w:r w:rsidR="00357854" w:rsidRPr="007F3D2B">
        <w:rPr>
          <w:rFonts w:ascii="Arial" w:hAnsi="Arial" w:cs="Arial"/>
          <w:b/>
          <w:sz w:val="20"/>
          <w:szCs w:val="20"/>
          <w:lang w:eastAsia="en-US"/>
        </w:rPr>
        <w:t>.</w:t>
      </w:r>
      <w:r w:rsidRPr="007F3D2B">
        <w:rPr>
          <w:rFonts w:ascii="Arial" w:hAnsi="Arial" w:cs="Arial"/>
          <w:b/>
          <w:sz w:val="20"/>
          <w:szCs w:val="20"/>
          <w:lang w:eastAsia="en-US"/>
        </w:rPr>
        <w:t xml:space="preserve"> </w:t>
      </w:r>
      <w:r w:rsidR="004D03C7" w:rsidRPr="007F3D2B">
        <w:rPr>
          <w:rFonts w:ascii="Arial" w:hAnsi="Arial" w:cs="Arial"/>
          <w:b/>
          <w:sz w:val="20"/>
          <w:szCs w:val="20"/>
          <w:lang w:eastAsia="en-US"/>
        </w:rPr>
        <w:t>Zjednodušené podlimitní řízení</w:t>
      </w:r>
      <w:r w:rsidRPr="007F3D2B">
        <w:rPr>
          <w:rFonts w:ascii="Arial" w:hAnsi="Arial" w:cs="Arial"/>
          <w:b/>
          <w:sz w:val="20"/>
          <w:szCs w:val="20"/>
          <w:lang w:eastAsia="en-US"/>
        </w:rPr>
        <w:t xml:space="preserve"> </w:t>
      </w:r>
      <w:r w:rsidR="0022545C" w:rsidRPr="007F3D2B">
        <w:rPr>
          <w:rFonts w:ascii="Arial" w:hAnsi="Arial" w:cs="Arial"/>
          <w:b/>
          <w:sz w:val="20"/>
          <w:szCs w:val="20"/>
          <w:lang w:eastAsia="en-US"/>
        </w:rPr>
        <w:t>–</w:t>
      </w:r>
      <w:r w:rsidRPr="007F3D2B">
        <w:rPr>
          <w:rFonts w:ascii="Arial" w:hAnsi="Arial" w:cs="Arial"/>
          <w:b/>
          <w:sz w:val="20"/>
          <w:szCs w:val="20"/>
          <w:lang w:eastAsia="en-US"/>
        </w:rPr>
        <w:t xml:space="preserve"> limity</w:t>
      </w:r>
    </w:p>
    <w:p w:rsidR="0022545C" w:rsidRPr="007F3D2B" w:rsidRDefault="0022545C" w:rsidP="007F3D2B">
      <w:pPr>
        <w:spacing w:before="120" w:line="276" w:lineRule="auto"/>
        <w:jc w:val="both"/>
        <w:rPr>
          <w:rFonts w:ascii="Arial" w:hAnsi="Arial" w:cs="Arial"/>
          <w:b/>
          <w:sz w:val="20"/>
          <w:szCs w:val="20"/>
          <w:lang w:eastAsia="en-US"/>
        </w:rPr>
      </w:pPr>
    </w:p>
    <w:p w:rsidR="0022545C" w:rsidRPr="007F3D2B" w:rsidRDefault="0022545C"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Ze statistických údajů Informačního systému o veřejných zakázkách vyplývá, že </w:t>
      </w:r>
      <w:r w:rsidR="00A62EDD" w:rsidRPr="007F3D2B">
        <w:rPr>
          <w:rFonts w:ascii="Arial" w:hAnsi="Arial" w:cs="Arial"/>
          <w:sz w:val="20"/>
          <w:szCs w:val="20"/>
          <w:lang w:eastAsia="en-US"/>
        </w:rPr>
        <w:t xml:space="preserve">z hlediska počtu bylo </w:t>
      </w:r>
      <w:r w:rsidR="00EB35F2" w:rsidRPr="007F3D2B">
        <w:rPr>
          <w:rFonts w:ascii="Arial" w:hAnsi="Arial" w:cs="Arial"/>
          <w:sz w:val="20"/>
          <w:szCs w:val="20"/>
          <w:lang w:eastAsia="en-US"/>
        </w:rPr>
        <w:t xml:space="preserve">zjednodušené podlimitní řízení </w:t>
      </w:r>
      <w:r w:rsidR="00A62EDD" w:rsidRPr="007F3D2B">
        <w:rPr>
          <w:rFonts w:ascii="Arial" w:hAnsi="Arial" w:cs="Arial"/>
          <w:sz w:val="20"/>
          <w:szCs w:val="20"/>
          <w:lang w:eastAsia="en-US"/>
        </w:rPr>
        <w:t xml:space="preserve">nejvyužívanějším druhem </w:t>
      </w:r>
      <w:r w:rsidR="00EB35F2" w:rsidRPr="007F3D2B">
        <w:rPr>
          <w:rFonts w:ascii="Arial" w:hAnsi="Arial" w:cs="Arial"/>
          <w:sz w:val="20"/>
          <w:szCs w:val="20"/>
          <w:lang w:eastAsia="en-US"/>
        </w:rPr>
        <w:t xml:space="preserve">zadávacího </w:t>
      </w:r>
      <w:r w:rsidR="00A62EDD" w:rsidRPr="007F3D2B">
        <w:rPr>
          <w:rFonts w:ascii="Arial" w:hAnsi="Arial" w:cs="Arial"/>
          <w:sz w:val="20"/>
          <w:szCs w:val="20"/>
          <w:lang w:eastAsia="en-US"/>
        </w:rPr>
        <w:t>řízení</w:t>
      </w:r>
      <w:r w:rsidR="00EB35F2" w:rsidRPr="007F3D2B">
        <w:rPr>
          <w:rFonts w:ascii="Arial" w:hAnsi="Arial" w:cs="Arial"/>
          <w:sz w:val="20"/>
          <w:szCs w:val="20"/>
          <w:lang w:eastAsia="en-US"/>
        </w:rPr>
        <w:t xml:space="preserve"> v roce 2013</w:t>
      </w:r>
      <w:r w:rsidRPr="007F3D2B">
        <w:rPr>
          <w:rFonts w:ascii="Arial" w:hAnsi="Arial" w:cs="Arial"/>
          <w:sz w:val="20"/>
          <w:szCs w:val="20"/>
          <w:lang w:eastAsia="en-US"/>
        </w:rPr>
        <w:t>. V</w:t>
      </w:r>
      <w:r w:rsidR="00F63742" w:rsidRPr="007F3D2B">
        <w:rPr>
          <w:rFonts w:ascii="Arial" w:hAnsi="Arial" w:cs="Arial"/>
          <w:sz w:val="20"/>
          <w:szCs w:val="20"/>
          <w:lang w:eastAsia="en-US"/>
        </w:rPr>
        <w:t xml:space="preserve">e zjednodušeném </w:t>
      </w:r>
      <w:r w:rsidR="00357854" w:rsidRPr="007F3D2B">
        <w:rPr>
          <w:rFonts w:ascii="Arial" w:hAnsi="Arial" w:cs="Arial"/>
          <w:sz w:val="20"/>
          <w:szCs w:val="20"/>
          <w:lang w:eastAsia="en-US"/>
        </w:rPr>
        <w:t xml:space="preserve">podlimitním </w:t>
      </w:r>
      <w:r w:rsidRPr="007F3D2B">
        <w:rPr>
          <w:rFonts w:ascii="Arial" w:hAnsi="Arial" w:cs="Arial"/>
          <w:sz w:val="20"/>
          <w:szCs w:val="20"/>
          <w:lang w:eastAsia="en-US"/>
        </w:rPr>
        <w:t xml:space="preserve">řízení bylo zadáno přibližně 7 000 veřejných zakázek, </w:t>
      </w:r>
      <w:r w:rsidR="00357854" w:rsidRPr="007F3D2B">
        <w:rPr>
          <w:rFonts w:ascii="Arial" w:hAnsi="Arial" w:cs="Arial"/>
          <w:sz w:val="20"/>
          <w:szCs w:val="20"/>
          <w:lang w:eastAsia="en-US"/>
        </w:rPr>
        <w:t>což tvoří</w:t>
      </w:r>
      <w:r w:rsidRPr="007F3D2B">
        <w:rPr>
          <w:rFonts w:ascii="Arial" w:hAnsi="Arial" w:cs="Arial"/>
          <w:sz w:val="20"/>
          <w:szCs w:val="20"/>
          <w:lang w:eastAsia="en-US"/>
        </w:rPr>
        <w:t xml:space="preserve"> 43</w:t>
      </w:r>
      <w:r w:rsidR="00816276" w:rsidRPr="007F3D2B">
        <w:rPr>
          <w:rFonts w:ascii="Arial" w:hAnsi="Arial" w:cs="Arial"/>
          <w:sz w:val="20"/>
          <w:szCs w:val="20"/>
          <w:lang w:eastAsia="en-US"/>
        </w:rPr>
        <w:t>%</w:t>
      </w:r>
      <w:r w:rsidRPr="007F3D2B">
        <w:rPr>
          <w:rFonts w:ascii="Arial" w:hAnsi="Arial" w:cs="Arial"/>
          <w:sz w:val="20"/>
          <w:szCs w:val="20"/>
          <w:lang w:eastAsia="en-US"/>
        </w:rPr>
        <w:t xml:space="preserve"> podíl na všech použitých zadávacích řízeních. V roce 2013 došlo k </w:t>
      </w:r>
      <w:r w:rsidR="00816276" w:rsidRPr="007F3D2B">
        <w:rPr>
          <w:rFonts w:ascii="Arial" w:hAnsi="Arial" w:cs="Arial"/>
          <w:sz w:val="20"/>
          <w:szCs w:val="20"/>
          <w:lang w:eastAsia="en-US"/>
        </w:rPr>
        <w:t>meziroční</w:t>
      </w:r>
      <w:r w:rsidRPr="007F3D2B">
        <w:rPr>
          <w:rFonts w:ascii="Arial" w:hAnsi="Arial" w:cs="Arial"/>
          <w:sz w:val="20"/>
          <w:szCs w:val="20"/>
          <w:lang w:eastAsia="en-US"/>
        </w:rPr>
        <w:t>mu</w:t>
      </w:r>
      <w:r w:rsidR="00816276" w:rsidRPr="007F3D2B">
        <w:rPr>
          <w:rFonts w:ascii="Arial" w:hAnsi="Arial" w:cs="Arial"/>
          <w:sz w:val="20"/>
          <w:szCs w:val="20"/>
          <w:lang w:eastAsia="en-US"/>
        </w:rPr>
        <w:t xml:space="preserve"> nárůst</w:t>
      </w:r>
      <w:r w:rsidRPr="007F3D2B">
        <w:rPr>
          <w:rFonts w:ascii="Arial" w:hAnsi="Arial" w:cs="Arial"/>
          <w:sz w:val="20"/>
          <w:szCs w:val="20"/>
          <w:lang w:eastAsia="en-US"/>
        </w:rPr>
        <w:t>u</w:t>
      </w:r>
      <w:r w:rsidR="00816276" w:rsidRPr="007F3D2B">
        <w:rPr>
          <w:rFonts w:ascii="Arial" w:hAnsi="Arial" w:cs="Arial"/>
          <w:sz w:val="20"/>
          <w:szCs w:val="20"/>
          <w:lang w:eastAsia="en-US"/>
        </w:rPr>
        <w:t xml:space="preserve"> o cca 12 procentních bodů. </w:t>
      </w:r>
      <w:r w:rsidR="009E51DF" w:rsidRPr="007F3D2B">
        <w:rPr>
          <w:rFonts w:ascii="Arial" w:hAnsi="Arial" w:cs="Arial"/>
          <w:sz w:val="20"/>
          <w:szCs w:val="20"/>
          <w:lang w:eastAsia="en-US"/>
        </w:rPr>
        <w:t>I přes vysokou míru využívání zjednodušeného podlimitního řízení bylo prostřednictvím tohoto druhu řízení alokováno pouze cca 8</w:t>
      </w:r>
      <w:r w:rsidR="00357854" w:rsidRPr="007F3D2B">
        <w:rPr>
          <w:rFonts w:ascii="Arial" w:hAnsi="Arial" w:cs="Arial"/>
          <w:sz w:val="20"/>
          <w:szCs w:val="20"/>
          <w:lang w:eastAsia="en-US"/>
        </w:rPr>
        <w:t xml:space="preserve"> </w:t>
      </w:r>
      <w:r w:rsidR="009E51DF" w:rsidRPr="007F3D2B">
        <w:rPr>
          <w:rFonts w:ascii="Arial" w:hAnsi="Arial" w:cs="Arial"/>
          <w:sz w:val="20"/>
          <w:szCs w:val="20"/>
          <w:lang w:eastAsia="en-US"/>
        </w:rPr>
        <w:t xml:space="preserve">% z celkového objemu finančních prostředků evidovaných v Informačním </w:t>
      </w:r>
      <w:r w:rsidR="00357854" w:rsidRPr="007F3D2B">
        <w:rPr>
          <w:rFonts w:ascii="Arial" w:hAnsi="Arial" w:cs="Arial"/>
          <w:sz w:val="20"/>
          <w:szCs w:val="20"/>
          <w:lang w:eastAsia="en-US"/>
        </w:rPr>
        <w:t xml:space="preserve">systému </w:t>
      </w:r>
      <w:r w:rsidR="009E51DF" w:rsidRPr="007F3D2B">
        <w:rPr>
          <w:rFonts w:ascii="Arial" w:hAnsi="Arial" w:cs="Arial"/>
          <w:sz w:val="20"/>
          <w:szCs w:val="20"/>
          <w:lang w:eastAsia="en-US"/>
        </w:rPr>
        <w:t>o veřejných zakázkách a</w:t>
      </w:r>
      <w:r w:rsidR="003225F0" w:rsidRPr="007F3D2B">
        <w:rPr>
          <w:rFonts w:ascii="Arial" w:hAnsi="Arial" w:cs="Arial"/>
          <w:sz w:val="20"/>
          <w:szCs w:val="20"/>
          <w:lang w:eastAsia="en-US"/>
        </w:rPr>
        <w:t xml:space="preserve"> v této souvislosti se jedná o</w:t>
      </w:r>
      <w:r w:rsidR="00816276" w:rsidRPr="007F3D2B">
        <w:rPr>
          <w:rFonts w:ascii="Arial" w:hAnsi="Arial" w:cs="Arial"/>
          <w:sz w:val="20"/>
          <w:szCs w:val="20"/>
          <w:lang w:eastAsia="en-US"/>
        </w:rPr>
        <w:t xml:space="preserve"> meziroční nárůst o necelá 3 %. </w:t>
      </w:r>
      <w:r w:rsidR="003225F0" w:rsidRPr="007F3D2B">
        <w:rPr>
          <w:rFonts w:ascii="Arial" w:hAnsi="Arial" w:cs="Arial"/>
          <w:sz w:val="20"/>
          <w:szCs w:val="20"/>
          <w:lang w:eastAsia="en-US"/>
        </w:rPr>
        <w:t xml:space="preserve">Příčinou tohoto nárůstu je plné projevení se důsledků tzv. transparentní novely zákona o veřejných zakázkách. Předpokládá se, že v </w:t>
      </w:r>
      <w:r w:rsidR="00816276" w:rsidRPr="007F3D2B">
        <w:rPr>
          <w:rFonts w:ascii="Arial" w:hAnsi="Arial" w:cs="Arial"/>
          <w:sz w:val="20"/>
          <w:szCs w:val="20"/>
          <w:lang w:eastAsia="en-US"/>
        </w:rPr>
        <w:t>důsledku snížení limitů došlo k tomu, že velká část veřejných zakázek</w:t>
      </w:r>
      <w:r w:rsidR="006619FA" w:rsidRPr="007F3D2B">
        <w:rPr>
          <w:rFonts w:ascii="Arial" w:hAnsi="Arial" w:cs="Arial"/>
          <w:sz w:val="20"/>
          <w:szCs w:val="20"/>
          <w:lang w:eastAsia="en-US"/>
        </w:rPr>
        <w:t xml:space="preserve"> se</w:t>
      </w:r>
      <w:r w:rsidR="00816276" w:rsidRPr="007F3D2B">
        <w:rPr>
          <w:rFonts w:ascii="Arial" w:hAnsi="Arial" w:cs="Arial"/>
          <w:sz w:val="20"/>
          <w:szCs w:val="20"/>
          <w:lang w:eastAsia="en-US"/>
        </w:rPr>
        <w:t xml:space="preserve"> přesunula z</w:t>
      </w:r>
      <w:r w:rsidR="003225F0" w:rsidRPr="007F3D2B">
        <w:rPr>
          <w:rFonts w:ascii="Arial" w:hAnsi="Arial" w:cs="Arial"/>
          <w:sz w:val="20"/>
          <w:szCs w:val="20"/>
          <w:lang w:eastAsia="en-US"/>
        </w:rPr>
        <w:t> okruhu veřejných zakázek zadávaných bez realizace zadávací</w:t>
      </w:r>
      <w:r w:rsidR="006F197B" w:rsidRPr="007F3D2B">
        <w:rPr>
          <w:rFonts w:ascii="Arial" w:hAnsi="Arial" w:cs="Arial"/>
          <w:sz w:val="20"/>
          <w:szCs w:val="20"/>
          <w:lang w:eastAsia="en-US"/>
        </w:rPr>
        <w:t>ho</w:t>
      </w:r>
      <w:r w:rsidR="003225F0" w:rsidRPr="007F3D2B">
        <w:rPr>
          <w:rFonts w:ascii="Arial" w:hAnsi="Arial" w:cs="Arial"/>
          <w:sz w:val="20"/>
          <w:szCs w:val="20"/>
          <w:lang w:eastAsia="en-US"/>
        </w:rPr>
        <w:t xml:space="preserve"> řízení</w:t>
      </w:r>
      <w:r w:rsidR="00816276" w:rsidRPr="007F3D2B">
        <w:rPr>
          <w:rFonts w:ascii="Arial" w:hAnsi="Arial" w:cs="Arial"/>
          <w:sz w:val="20"/>
          <w:szCs w:val="20"/>
          <w:lang w:eastAsia="en-US"/>
        </w:rPr>
        <w:t xml:space="preserve"> do pásma podlimitních veřejných zakázek</w:t>
      </w:r>
      <w:r w:rsidR="003225F0" w:rsidRPr="007F3D2B">
        <w:rPr>
          <w:rFonts w:ascii="Arial" w:hAnsi="Arial" w:cs="Arial"/>
          <w:sz w:val="20"/>
          <w:szCs w:val="20"/>
          <w:lang w:eastAsia="en-US"/>
        </w:rPr>
        <w:t>.</w:t>
      </w:r>
      <w:r w:rsidR="00816276" w:rsidRPr="007F3D2B">
        <w:rPr>
          <w:rFonts w:ascii="Arial" w:hAnsi="Arial" w:cs="Arial"/>
          <w:sz w:val="20"/>
          <w:szCs w:val="20"/>
          <w:lang w:eastAsia="en-US"/>
        </w:rPr>
        <w:t xml:space="preserve"> </w:t>
      </w:r>
    </w:p>
    <w:p w:rsidR="00FC0193" w:rsidRPr="007F3D2B" w:rsidRDefault="00FC0193" w:rsidP="007F3D2B">
      <w:pPr>
        <w:spacing w:before="120" w:line="276" w:lineRule="auto"/>
        <w:jc w:val="both"/>
        <w:rPr>
          <w:rFonts w:ascii="Arial" w:hAnsi="Arial" w:cs="Arial"/>
          <w:sz w:val="20"/>
          <w:szCs w:val="20"/>
          <w:lang w:eastAsia="en-US"/>
        </w:rPr>
      </w:pPr>
    </w:p>
    <w:p w:rsidR="00FC0193" w:rsidRPr="007F3D2B" w:rsidRDefault="00FC0193"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 xml:space="preserve">Varianta 1 – </w:t>
      </w:r>
      <w:r w:rsidR="004053BD" w:rsidRPr="007F3D2B">
        <w:rPr>
          <w:rFonts w:ascii="Arial" w:hAnsi="Arial" w:cs="Arial"/>
          <w:b/>
          <w:sz w:val="20"/>
          <w:szCs w:val="20"/>
          <w:lang w:eastAsia="en-US"/>
        </w:rPr>
        <w:t>nulová varianta</w:t>
      </w:r>
    </w:p>
    <w:p w:rsidR="00FC0193" w:rsidRPr="007F3D2B" w:rsidRDefault="00FC0193" w:rsidP="007F3D2B">
      <w:pPr>
        <w:spacing w:before="120" w:line="276" w:lineRule="auto"/>
        <w:jc w:val="both"/>
        <w:rPr>
          <w:rFonts w:ascii="Arial" w:hAnsi="Arial" w:cs="Arial"/>
          <w:sz w:val="20"/>
          <w:szCs w:val="20"/>
          <w:lang w:eastAsia="en-US"/>
        </w:rPr>
      </w:pPr>
    </w:p>
    <w:p w:rsidR="00FC0193" w:rsidRPr="007F3D2B" w:rsidRDefault="00FC0193"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FC0193" w:rsidRPr="007F3D2B" w:rsidRDefault="004053BD"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w:t>
      </w:r>
      <w:r w:rsidR="004D03C7" w:rsidRPr="007F3D2B">
        <w:rPr>
          <w:rFonts w:ascii="Arial" w:hAnsi="Arial" w:cs="Arial"/>
          <w:sz w:val="20"/>
          <w:szCs w:val="20"/>
          <w:lang w:eastAsia="en-US"/>
        </w:rPr>
        <w:t>achování současného stavu upraveného dle stávající právní úpravy</w:t>
      </w:r>
      <w:r w:rsidRPr="007F3D2B">
        <w:rPr>
          <w:rFonts w:ascii="Arial" w:hAnsi="Arial" w:cs="Arial"/>
          <w:sz w:val="20"/>
          <w:szCs w:val="20"/>
          <w:lang w:eastAsia="en-US"/>
        </w:rPr>
        <w:t>.</w:t>
      </w:r>
      <w:r w:rsidR="004D03C7" w:rsidRPr="007F3D2B">
        <w:rPr>
          <w:rFonts w:ascii="Arial" w:hAnsi="Arial" w:cs="Arial"/>
          <w:sz w:val="20"/>
          <w:szCs w:val="20"/>
          <w:lang w:eastAsia="en-US"/>
        </w:rPr>
        <w:t xml:space="preserve"> Současné rozmezí finančních limitů pro použití zjednodušeného podlimitního řízení u dodávek a služeb je 2 mil. Kč – 3,2 mil. Kč u České republiky a 2 mil. Kč – 5 mil. Kč u samospráv, u stavebních prací je horním limitem 10 mil. Kč pro všechny veřejné zadavatele. </w:t>
      </w:r>
    </w:p>
    <w:p w:rsidR="00991D75" w:rsidRPr="007F3D2B" w:rsidRDefault="00991D75" w:rsidP="007F3D2B">
      <w:pPr>
        <w:spacing w:before="120" w:line="276" w:lineRule="auto"/>
        <w:jc w:val="both"/>
        <w:rPr>
          <w:rFonts w:ascii="Arial" w:hAnsi="Arial" w:cs="Arial"/>
          <w:sz w:val="20"/>
          <w:szCs w:val="20"/>
          <w:lang w:eastAsia="en-US"/>
        </w:rPr>
      </w:pPr>
    </w:p>
    <w:p w:rsidR="00FC0193" w:rsidRPr="007F3D2B" w:rsidRDefault="00FC0193"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Rizika: </w:t>
      </w:r>
    </w:p>
    <w:p w:rsidR="00FC0193" w:rsidRPr="007F3D2B" w:rsidRDefault="007C59DB"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Toto rozpětí je ve vztahu k veřejným zakázkám na stavební práce nepřiměřené, kdy rozpětí předpokládaných hodnot pro použití tohoto řízení je velice úzké. Zjednodušené podlimitní řízení zaručuje zachování transparentnosti a umožňuje následnou kontrolu postupu zadavatele, proto není důvodné omezovat jeho použití tak přísně jako je tomu nyní. </w:t>
      </w:r>
    </w:p>
    <w:p w:rsidR="00FC0193" w:rsidRPr="007F3D2B" w:rsidRDefault="00FC0193" w:rsidP="007F3D2B">
      <w:pPr>
        <w:spacing w:before="120" w:line="276" w:lineRule="auto"/>
        <w:jc w:val="both"/>
        <w:rPr>
          <w:rFonts w:ascii="Arial" w:hAnsi="Arial" w:cs="Arial"/>
          <w:sz w:val="20"/>
          <w:szCs w:val="20"/>
          <w:lang w:eastAsia="en-US"/>
        </w:rPr>
      </w:pPr>
    </w:p>
    <w:p w:rsidR="00FC0193" w:rsidRPr="007F3D2B" w:rsidRDefault="00FC0193"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Varianta 2 – snížení stávajících limitů</w:t>
      </w:r>
    </w:p>
    <w:p w:rsidR="00FC0193" w:rsidRPr="007F3D2B" w:rsidRDefault="00FC0193" w:rsidP="007F3D2B">
      <w:pPr>
        <w:spacing w:before="120" w:line="276" w:lineRule="auto"/>
        <w:jc w:val="both"/>
        <w:rPr>
          <w:rFonts w:ascii="Arial" w:hAnsi="Arial" w:cs="Arial"/>
          <w:b/>
          <w:sz w:val="20"/>
          <w:szCs w:val="20"/>
          <w:lang w:eastAsia="en-US"/>
        </w:rPr>
      </w:pPr>
    </w:p>
    <w:p w:rsidR="00FC0193" w:rsidRPr="007F3D2B" w:rsidRDefault="00FC0193"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FC0193" w:rsidRPr="007F3D2B" w:rsidRDefault="00B96DC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Je </w:t>
      </w:r>
      <w:r w:rsidR="006F197B" w:rsidRPr="007F3D2B">
        <w:rPr>
          <w:rFonts w:ascii="Arial" w:hAnsi="Arial" w:cs="Arial"/>
          <w:sz w:val="20"/>
          <w:szCs w:val="20"/>
          <w:lang w:eastAsia="en-US"/>
        </w:rPr>
        <w:t xml:space="preserve">možné </w:t>
      </w:r>
      <w:r w:rsidRPr="007F3D2B">
        <w:rPr>
          <w:rFonts w:ascii="Arial" w:hAnsi="Arial" w:cs="Arial"/>
          <w:sz w:val="20"/>
          <w:szCs w:val="20"/>
          <w:lang w:eastAsia="en-US"/>
        </w:rPr>
        <w:t>také</w:t>
      </w:r>
      <w:r w:rsidR="00B9090A" w:rsidRPr="007F3D2B">
        <w:rPr>
          <w:rFonts w:ascii="Arial" w:hAnsi="Arial" w:cs="Arial"/>
          <w:sz w:val="20"/>
          <w:szCs w:val="20"/>
          <w:lang w:eastAsia="en-US"/>
        </w:rPr>
        <w:t xml:space="preserve"> snížit horní hranici pro možnost použití</w:t>
      </w:r>
      <w:r w:rsidR="00FF372A" w:rsidRPr="007F3D2B">
        <w:rPr>
          <w:rFonts w:ascii="Arial" w:hAnsi="Arial" w:cs="Arial"/>
          <w:sz w:val="20"/>
          <w:szCs w:val="20"/>
          <w:lang w:eastAsia="en-US"/>
        </w:rPr>
        <w:t xml:space="preserve"> zjednodušeného podlimitního řízení </w:t>
      </w:r>
      <w:r w:rsidRPr="007F3D2B">
        <w:rPr>
          <w:rFonts w:ascii="Arial" w:hAnsi="Arial" w:cs="Arial"/>
          <w:sz w:val="20"/>
          <w:szCs w:val="20"/>
          <w:lang w:eastAsia="en-US"/>
        </w:rPr>
        <w:t>oproti současné úpravě</w:t>
      </w:r>
      <w:r w:rsidR="00FF372A" w:rsidRPr="007F3D2B">
        <w:rPr>
          <w:rFonts w:ascii="Arial" w:hAnsi="Arial" w:cs="Arial"/>
          <w:sz w:val="20"/>
          <w:szCs w:val="20"/>
          <w:lang w:eastAsia="en-US"/>
        </w:rPr>
        <w:t xml:space="preserve"> uveden</w:t>
      </w:r>
      <w:r w:rsidRPr="007F3D2B">
        <w:rPr>
          <w:rFonts w:ascii="Arial" w:hAnsi="Arial" w:cs="Arial"/>
          <w:sz w:val="20"/>
          <w:szCs w:val="20"/>
          <w:lang w:eastAsia="en-US"/>
        </w:rPr>
        <w:t>é</w:t>
      </w:r>
      <w:r w:rsidR="00FF372A" w:rsidRPr="007F3D2B">
        <w:rPr>
          <w:rFonts w:ascii="Arial" w:hAnsi="Arial" w:cs="Arial"/>
          <w:sz w:val="20"/>
          <w:szCs w:val="20"/>
          <w:lang w:eastAsia="en-US"/>
        </w:rPr>
        <w:t xml:space="preserve"> ve variantě 1.</w:t>
      </w:r>
    </w:p>
    <w:p w:rsidR="001332F1" w:rsidRPr="007F3D2B" w:rsidRDefault="001332F1"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Lze podotknout, že v minulosti se již osvědčilo umožnit použití ZPŘ u všech podlimitních zakázek na dodávky a na služby a pro snížení tohoto limitu nebyl předkladateli sdělen žádný racionální důvod. </w:t>
      </w:r>
    </w:p>
    <w:p w:rsidR="00FC0193" w:rsidRPr="007F3D2B" w:rsidRDefault="00FC0193" w:rsidP="007F3D2B">
      <w:pPr>
        <w:spacing w:before="120" w:line="276" w:lineRule="auto"/>
        <w:jc w:val="both"/>
        <w:rPr>
          <w:rFonts w:ascii="Arial" w:hAnsi="Arial" w:cs="Arial"/>
          <w:sz w:val="20"/>
          <w:szCs w:val="20"/>
          <w:lang w:eastAsia="en-US"/>
        </w:rPr>
      </w:pPr>
    </w:p>
    <w:p w:rsidR="00FC0193" w:rsidRPr="007F3D2B" w:rsidRDefault="00FC0193"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p>
    <w:p w:rsidR="00FC0193" w:rsidRPr="007F3D2B" w:rsidRDefault="00FC0193"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V rámci stanovení nižšího limitu </w:t>
      </w:r>
      <w:r w:rsidR="00D261A5" w:rsidRPr="007F3D2B">
        <w:rPr>
          <w:rFonts w:ascii="Arial" w:hAnsi="Arial" w:cs="Arial"/>
          <w:sz w:val="20"/>
          <w:szCs w:val="20"/>
          <w:lang w:eastAsia="en-US"/>
        </w:rPr>
        <w:t xml:space="preserve">pro použití zjednodušeného podlimitního řízení </w:t>
      </w:r>
      <w:r w:rsidRPr="007F3D2B">
        <w:rPr>
          <w:rFonts w:ascii="Arial" w:hAnsi="Arial" w:cs="Arial"/>
          <w:sz w:val="20"/>
          <w:szCs w:val="20"/>
          <w:lang w:eastAsia="en-US"/>
        </w:rPr>
        <w:t>lze předpokládat, že dojde k</w:t>
      </w:r>
      <w:r w:rsidR="00943BA7" w:rsidRPr="007F3D2B">
        <w:rPr>
          <w:rFonts w:ascii="Arial" w:hAnsi="Arial" w:cs="Arial"/>
          <w:sz w:val="20"/>
          <w:szCs w:val="20"/>
          <w:lang w:eastAsia="en-US"/>
        </w:rPr>
        <w:t xml:space="preserve"> nepřiměřenému </w:t>
      </w:r>
      <w:r w:rsidRPr="007F3D2B">
        <w:rPr>
          <w:rFonts w:ascii="Arial" w:hAnsi="Arial" w:cs="Arial"/>
          <w:sz w:val="20"/>
          <w:szCs w:val="20"/>
          <w:lang w:eastAsia="en-US"/>
        </w:rPr>
        <w:t>zvýšení administrativní zátěže v rámci procesu zadávání.</w:t>
      </w:r>
      <w:r w:rsidR="00943BA7" w:rsidRPr="007F3D2B">
        <w:rPr>
          <w:rFonts w:ascii="Arial" w:hAnsi="Arial" w:cs="Arial"/>
          <w:sz w:val="20"/>
          <w:szCs w:val="20"/>
          <w:lang w:eastAsia="en-US"/>
        </w:rPr>
        <w:t xml:space="preserve"> S ohledem na lhůty stanovené pro otevřené řízení pak také k nepřiměřenému prodloužení lhůty nezbytné pro zadání veřejné zakázky. </w:t>
      </w:r>
    </w:p>
    <w:p w:rsidR="00FC0193" w:rsidRPr="007F3D2B" w:rsidRDefault="00FC0193" w:rsidP="007F3D2B">
      <w:pPr>
        <w:spacing w:before="120" w:line="276" w:lineRule="auto"/>
        <w:jc w:val="both"/>
        <w:rPr>
          <w:rFonts w:ascii="Arial" w:hAnsi="Arial" w:cs="Arial"/>
          <w:sz w:val="20"/>
          <w:szCs w:val="20"/>
          <w:lang w:eastAsia="en-US"/>
        </w:rPr>
      </w:pPr>
    </w:p>
    <w:p w:rsidR="00FC0193" w:rsidRPr="007F3D2B" w:rsidRDefault="00FC0193"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Varianta 3 – zvýšení stávajících limitů</w:t>
      </w:r>
    </w:p>
    <w:p w:rsidR="00FC0193" w:rsidRPr="007F3D2B" w:rsidRDefault="00FC0193" w:rsidP="007F3D2B">
      <w:pPr>
        <w:spacing w:before="120" w:line="276" w:lineRule="auto"/>
        <w:jc w:val="both"/>
        <w:rPr>
          <w:rFonts w:ascii="Arial" w:hAnsi="Arial" w:cs="Arial"/>
          <w:sz w:val="20"/>
          <w:szCs w:val="20"/>
          <w:lang w:eastAsia="en-US"/>
        </w:rPr>
      </w:pPr>
    </w:p>
    <w:p w:rsidR="00FC0193" w:rsidRPr="007F3D2B" w:rsidRDefault="00FC0193"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FC0193" w:rsidRPr="007F3D2B" w:rsidRDefault="00FF372A"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Horní hranice u dodávek a služeb odpovídá hranici pro nadlimitní veřejné zakázky a vyplývá z nařízení </w:t>
      </w:r>
      <w:r w:rsidR="006F197B" w:rsidRPr="007F3D2B">
        <w:rPr>
          <w:rFonts w:ascii="Arial" w:hAnsi="Arial" w:cs="Arial"/>
          <w:sz w:val="20"/>
          <w:szCs w:val="20"/>
          <w:lang w:eastAsia="en-US"/>
        </w:rPr>
        <w:t>E</w:t>
      </w:r>
      <w:r w:rsidRPr="007F3D2B">
        <w:rPr>
          <w:rFonts w:ascii="Arial" w:hAnsi="Arial" w:cs="Arial"/>
          <w:sz w:val="20"/>
          <w:szCs w:val="20"/>
          <w:lang w:eastAsia="en-US"/>
        </w:rPr>
        <w:t xml:space="preserve">vropské </w:t>
      </w:r>
      <w:r w:rsidR="006F197B" w:rsidRPr="007F3D2B">
        <w:rPr>
          <w:rFonts w:ascii="Arial" w:hAnsi="Arial" w:cs="Arial"/>
          <w:sz w:val="20"/>
          <w:szCs w:val="20"/>
          <w:lang w:eastAsia="en-US"/>
        </w:rPr>
        <w:t>k</w:t>
      </w:r>
      <w:r w:rsidRPr="007F3D2B">
        <w:rPr>
          <w:rFonts w:ascii="Arial" w:hAnsi="Arial" w:cs="Arial"/>
          <w:sz w:val="20"/>
          <w:szCs w:val="20"/>
          <w:lang w:eastAsia="en-US"/>
        </w:rPr>
        <w:t xml:space="preserve">omise. Hranice 10 mil. Kč pro stavební práce je stanovena současným zákonem, její maximální potenciální výše odpovídá limitům pro nadlimitní veřejné zakázky, která dle </w:t>
      </w:r>
      <w:r w:rsidR="00A83E7B" w:rsidRPr="007F3D2B">
        <w:rPr>
          <w:rFonts w:ascii="Arial" w:hAnsi="Arial" w:cs="Arial"/>
          <w:sz w:val="20"/>
          <w:szCs w:val="20"/>
          <w:lang w:eastAsia="en-US"/>
        </w:rPr>
        <w:t xml:space="preserve">nařízení </w:t>
      </w:r>
      <w:r w:rsidR="006F197B" w:rsidRPr="007F3D2B">
        <w:rPr>
          <w:rFonts w:ascii="Arial" w:hAnsi="Arial" w:cs="Arial"/>
          <w:sz w:val="20"/>
          <w:szCs w:val="20"/>
          <w:lang w:eastAsia="en-US"/>
        </w:rPr>
        <w:t>E</w:t>
      </w:r>
      <w:r w:rsidRPr="007F3D2B">
        <w:rPr>
          <w:rFonts w:ascii="Arial" w:hAnsi="Arial" w:cs="Arial"/>
          <w:sz w:val="20"/>
          <w:szCs w:val="20"/>
          <w:lang w:eastAsia="en-US"/>
        </w:rPr>
        <w:t xml:space="preserve">vropské </w:t>
      </w:r>
      <w:r w:rsidR="006F197B" w:rsidRPr="007F3D2B">
        <w:rPr>
          <w:rFonts w:ascii="Arial" w:hAnsi="Arial" w:cs="Arial"/>
          <w:sz w:val="20"/>
          <w:szCs w:val="20"/>
          <w:lang w:eastAsia="en-US"/>
        </w:rPr>
        <w:t>k</w:t>
      </w:r>
      <w:r w:rsidRPr="007F3D2B">
        <w:rPr>
          <w:rFonts w:ascii="Arial" w:hAnsi="Arial" w:cs="Arial"/>
          <w:sz w:val="20"/>
          <w:szCs w:val="20"/>
          <w:lang w:eastAsia="en-US"/>
        </w:rPr>
        <w:t xml:space="preserve">omise tvoří 131 mil. Kč. </w:t>
      </w:r>
      <w:r w:rsidR="006F197B" w:rsidRPr="007F3D2B">
        <w:rPr>
          <w:rFonts w:ascii="Arial" w:hAnsi="Arial" w:cs="Arial"/>
          <w:sz w:val="20"/>
          <w:szCs w:val="20"/>
          <w:lang w:eastAsia="en-US"/>
        </w:rPr>
        <w:t xml:space="preserve">Jako vhodné se jeví </w:t>
      </w:r>
      <w:r w:rsidRPr="007F3D2B">
        <w:rPr>
          <w:rFonts w:ascii="Arial" w:hAnsi="Arial" w:cs="Arial"/>
          <w:sz w:val="20"/>
          <w:szCs w:val="20"/>
          <w:lang w:eastAsia="en-US"/>
        </w:rPr>
        <w:t>v novém zákoně o veřejných zakázkách limit pro použitelnost zjednodušeného podlimitního řízení zvýšit</w:t>
      </w:r>
      <w:r w:rsidR="00A83E7B" w:rsidRPr="007F3D2B">
        <w:rPr>
          <w:rFonts w:ascii="Arial" w:hAnsi="Arial" w:cs="Arial"/>
          <w:sz w:val="20"/>
          <w:szCs w:val="20"/>
          <w:lang w:eastAsia="en-US"/>
        </w:rPr>
        <w:t xml:space="preserve">. Za adekvátní výši limitu </w:t>
      </w:r>
      <w:r w:rsidR="006F197B" w:rsidRPr="007F3D2B">
        <w:rPr>
          <w:rFonts w:ascii="Arial" w:hAnsi="Arial" w:cs="Arial"/>
          <w:sz w:val="20"/>
          <w:szCs w:val="20"/>
          <w:lang w:eastAsia="en-US"/>
        </w:rPr>
        <w:t xml:space="preserve">lze </w:t>
      </w:r>
      <w:r w:rsidR="00A83E7B" w:rsidRPr="007F3D2B">
        <w:rPr>
          <w:rFonts w:ascii="Arial" w:hAnsi="Arial" w:cs="Arial"/>
          <w:sz w:val="20"/>
          <w:szCs w:val="20"/>
          <w:lang w:eastAsia="en-US"/>
        </w:rPr>
        <w:t>považ</w:t>
      </w:r>
      <w:r w:rsidR="006F197B" w:rsidRPr="007F3D2B">
        <w:rPr>
          <w:rFonts w:ascii="Arial" w:hAnsi="Arial" w:cs="Arial"/>
          <w:sz w:val="20"/>
          <w:szCs w:val="20"/>
          <w:lang w:eastAsia="en-US"/>
        </w:rPr>
        <w:t>ovat</w:t>
      </w:r>
      <w:r w:rsidRPr="007F3D2B">
        <w:rPr>
          <w:rFonts w:ascii="Arial" w:hAnsi="Arial" w:cs="Arial"/>
          <w:sz w:val="20"/>
          <w:szCs w:val="20"/>
          <w:lang w:eastAsia="en-US"/>
        </w:rPr>
        <w:t xml:space="preserve"> 50 mil. Kč.</w:t>
      </w:r>
    </w:p>
    <w:p w:rsidR="00FC0193" w:rsidRPr="007F3D2B" w:rsidRDefault="00FC0193" w:rsidP="007F3D2B">
      <w:pPr>
        <w:spacing w:before="120" w:line="276" w:lineRule="auto"/>
        <w:jc w:val="both"/>
        <w:rPr>
          <w:rFonts w:ascii="Arial" w:hAnsi="Arial" w:cs="Arial"/>
          <w:sz w:val="20"/>
          <w:szCs w:val="20"/>
          <w:lang w:eastAsia="en-US"/>
        </w:rPr>
      </w:pPr>
    </w:p>
    <w:p w:rsidR="00FC0193" w:rsidRPr="007F3D2B" w:rsidRDefault="00FC0193"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1332F1" w:rsidRPr="007F3D2B">
        <w:rPr>
          <w:rFonts w:ascii="Arial" w:hAnsi="Arial" w:cs="Arial"/>
          <w:sz w:val="20"/>
          <w:szCs w:val="20"/>
          <w:lang w:eastAsia="en-US"/>
        </w:rPr>
        <w:t xml:space="preserve"> a přínosy</w:t>
      </w:r>
      <w:r w:rsidRPr="007F3D2B">
        <w:rPr>
          <w:rFonts w:ascii="Arial" w:hAnsi="Arial" w:cs="Arial"/>
          <w:sz w:val="20"/>
          <w:szCs w:val="20"/>
          <w:lang w:eastAsia="en-US"/>
        </w:rPr>
        <w:t>:</w:t>
      </w:r>
    </w:p>
    <w:p w:rsidR="00FC0193" w:rsidRPr="007F3D2B" w:rsidRDefault="00FC0193"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V rámci stanovení vyššího limitu lze předpokládat, že dojde </w:t>
      </w:r>
      <w:r w:rsidR="00FF372A" w:rsidRPr="007F3D2B">
        <w:rPr>
          <w:rFonts w:ascii="Arial" w:hAnsi="Arial" w:cs="Arial"/>
          <w:sz w:val="20"/>
          <w:szCs w:val="20"/>
          <w:lang w:eastAsia="en-US"/>
        </w:rPr>
        <w:t>ke snížení administrativní zátěže</w:t>
      </w:r>
      <w:r w:rsidR="00A83E7B" w:rsidRPr="007F3D2B">
        <w:rPr>
          <w:rFonts w:ascii="Arial" w:hAnsi="Arial" w:cs="Arial"/>
          <w:sz w:val="20"/>
          <w:szCs w:val="20"/>
          <w:lang w:eastAsia="en-US"/>
        </w:rPr>
        <w:t>, urychlení výběru dodavatele stavebních zakázek a tím i umožnění rychleji reagovat na aktuální potřeby zadavatelů</w:t>
      </w:r>
      <w:r w:rsidRPr="007F3D2B">
        <w:rPr>
          <w:rFonts w:ascii="Arial" w:hAnsi="Arial" w:cs="Arial"/>
          <w:sz w:val="20"/>
          <w:szCs w:val="20"/>
          <w:lang w:eastAsia="en-US"/>
        </w:rPr>
        <w:t>.</w:t>
      </w:r>
      <w:r w:rsidR="00A83E7B" w:rsidRPr="007F3D2B">
        <w:rPr>
          <w:rFonts w:ascii="Arial" w:hAnsi="Arial" w:cs="Arial"/>
          <w:sz w:val="20"/>
          <w:szCs w:val="20"/>
          <w:lang w:eastAsia="en-US"/>
        </w:rPr>
        <w:t xml:space="preserve"> Vzhledem ke skutečnosti, že i ZPŘ je zákonem regulovaný proces, nelze předpokládat zásadní snížení transparentnosti či zvýšení korupčních rizik.</w:t>
      </w:r>
    </w:p>
    <w:p w:rsidR="00FC0193" w:rsidRPr="007F3D2B" w:rsidRDefault="00FC0193" w:rsidP="007F3D2B">
      <w:pPr>
        <w:spacing w:before="120" w:line="276" w:lineRule="auto"/>
        <w:jc w:val="both"/>
        <w:rPr>
          <w:rFonts w:ascii="Arial" w:hAnsi="Arial" w:cs="Arial"/>
          <w:sz w:val="20"/>
          <w:szCs w:val="20"/>
          <w:lang w:eastAsia="en-US"/>
        </w:rPr>
      </w:pPr>
    </w:p>
    <w:p w:rsidR="00FC0193" w:rsidRPr="007F3D2B" w:rsidRDefault="00FC0193"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Závěr:</w:t>
      </w:r>
    </w:p>
    <w:p w:rsidR="00FC0193" w:rsidRPr="007F3D2B" w:rsidRDefault="00FC0193"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Varianta 3 se doporučuje přijmout</w:t>
      </w:r>
      <w:r w:rsidR="00C11190" w:rsidRPr="007F3D2B">
        <w:rPr>
          <w:rFonts w:ascii="Arial" w:hAnsi="Arial" w:cs="Arial"/>
          <w:sz w:val="20"/>
          <w:szCs w:val="20"/>
          <w:lang w:eastAsia="en-US"/>
        </w:rPr>
        <w:t>, za předpokladu, že bude zachováno zjednodušené podlimitní řízení</w:t>
      </w:r>
      <w:r w:rsidR="00E039E3">
        <w:rPr>
          <w:rFonts w:ascii="Arial" w:hAnsi="Arial" w:cs="Arial"/>
          <w:sz w:val="20"/>
          <w:szCs w:val="20"/>
          <w:lang w:eastAsia="en-US"/>
        </w:rPr>
        <w:t>.</w:t>
      </w:r>
    </w:p>
    <w:p w:rsidR="00FC0193" w:rsidRDefault="00FC0193" w:rsidP="007F3D2B">
      <w:pPr>
        <w:spacing w:before="120" w:line="276" w:lineRule="auto"/>
        <w:jc w:val="both"/>
        <w:rPr>
          <w:rFonts w:ascii="Arial" w:hAnsi="Arial" w:cs="Arial"/>
          <w:sz w:val="20"/>
          <w:szCs w:val="20"/>
          <w:lang w:eastAsia="en-US"/>
        </w:rPr>
      </w:pPr>
    </w:p>
    <w:p w:rsidR="007F3D2B" w:rsidRPr="007F3D2B" w:rsidRDefault="007F3D2B" w:rsidP="007F3D2B">
      <w:pPr>
        <w:spacing w:before="120" w:line="276" w:lineRule="auto"/>
        <w:jc w:val="both"/>
        <w:rPr>
          <w:rFonts w:ascii="Arial" w:hAnsi="Arial" w:cs="Arial"/>
          <w:sz w:val="20"/>
          <w:szCs w:val="20"/>
          <w:lang w:eastAsia="en-US"/>
        </w:rPr>
      </w:pPr>
    </w:p>
    <w:p w:rsidR="00FC0193" w:rsidRPr="007F3D2B" w:rsidRDefault="00986F00"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C</w:t>
      </w:r>
      <w:r w:rsidR="00D22998" w:rsidRPr="007F3D2B">
        <w:rPr>
          <w:rFonts w:ascii="Arial" w:hAnsi="Arial" w:cs="Arial"/>
          <w:b/>
          <w:sz w:val="20"/>
          <w:szCs w:val="20"/>
          <w:lang w:eastAsia="en-US"/>
        </w:rPr>
        <w:t>.</w:t>
      </w:r>
      <w:r w:rsidRPr="007F3D2B">
        <w:rPr>
          <w:rFonts w:ascii="Arial" w:hAnsi="Arial" w:cs="Arial"/>
          <w:b/>
          <w:sz w:val="20"/>
          <w:szCs w:val="20"/>
          <w:lang w:eastAsia="en-US"/>
        </w:rPr>
        <w:t xml:space="preserve"> </w:t>
      </w:r>
      <w:r w:rsidR="004D03C7" w:rsidRPr="007F3D2B">
        <w:rPr>
          <w:rFonts w:ascii="Arial" w:hAnsi="Arial" w:cs="Arial"/>
          <w:b/>
          <w:sz w:val="20"/>
          <w:szCs w:val="20"/>
          <w:lang w:eastAsia="en-US"/>
        </w:rPr>
        <w:t>Výjimky z postupu podle nového zákona o veřejných zakázkách</w:t>
      </w:r>
    </w:p>
    <w:p w:rsidR="00FC0193" w:rsidRPr="007F3D2B" w:rsidRDefault="00FC0193" w:rsidP="007F3D2B">
      <w:pPr>
        <w:spacing w:before="120" w:line="276" w:lineRule="auto"/>
        <w:jc w:val="both"/>
        <w:rPr>
          <w:rFonts w:ascii="Arial" w:hAnsi="Arial" w:cs="Arial"/>
          <w:sz w:val="20"/>
          <w:szCs w:val="20"/>
          <w:lang w:eastAsia="en-US"/>
        </w:rPr>
      </w:pPr>
    </w:p>
    <w:p w:rsidR="00385F52" w:rsidRPr="007F3D2B" w:rsidRDefault="00385F52"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Varianta 1 –</w:t>
      </w:r>
      <w:r w:rsidR="004053BD" w:rsidRPr="007F3D2B">
        <w:rPr>
          <w:rFonts w:ascii="Arial" w:hAnsi="Arial" w:cs="Arial"/>
          <w:b/>
          <w:sz w:val="20"/>
          <w:szCs w:val="20"/>
          <w:lang w:eastAsia="en-US"/>
        </w:rPr>
        <w:t xml:space="preserve"> nulová varianta</w:t>
      </w:r>
    </w:p>
    <w:p w:rsidR="00FC0193" w:rsidRPr="007F3D2B" w:rsidRDefault="00FC0193" w:rsidP="007F3D2B">
      <w:pPr>
        <w:spacing w:before="120" w:line="276" w:lineRule="auto"/>
        <w:jc w:val="both"/>
        <w:rPr>
          <w:rFonts w:ascii="Arial" w:hAnsi="Arial" w:cs="Arial"/>
          <w:sz w:val="20"/>
          <w:szCs w:val="20"/>
          <w:lang w:eastAsia="en-US"/>
        </w:rPr>
      </w:pPr>
    </w:p>
    <w:p w:rsidR="00385F52" w:rsidRPr="007F3D2B" w:rsidRDefault="00385F5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385F52" w:rsidRPr="007F3D2B" w:rsidRDefault="004053BD"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lastRenderedPageBreak/>
        <w:t>Z</w:t>
      </w:r>
      <w:r w:rsidR="004D03C7" w:rsidRPr="007F3D2B">
        <w:rPr>
          <w:rFonts w:ascii="Arial" w:hAnsi="Arial" w:cs="Arial"/>
          <w:sz w:val="20"/>
          <w:szCs w:val="20"/>
          <w:lang w:eastAsia="en-US"/>
        </w:rPr>
        <w:t>achování současného stavu upraveného dle stávající právní úpravy</w:t>
      </w:r>
      <w:r w:rsidRPr="007F3D2B">
        <w:rPr>
          <w:rFonts w:ascii="Arial" w:hAnsi="Arial" w:cs="Arial"/>
          <w:sz w:val="20"/>
          <w:szCs w:val="20"/>
          <w:lang w:eastAsia="en-US"/>
        </w:rPr>
        <w:t>.</w:t>
      </w:r>
      <w:r w:rsidR="004D03C7" w:rsidRPr="007F3D2B">
        <w:rPr>
          <w:rFonts w:ascii="Arial" w:hAnsi="Arial" w:cs="Arial"/>
          <w:b/>
          <w:sz w:val="20"/>
          <w:szCs w:val="20"/>
          <w:lang w:eastAsia="en-US"/>
        </w:rPr>
        <w:t xml:space="preserve"> </w:t>
      </w:r>
      <w:r w:rsidR="004D03C7" w:rsidRPr="007F3D2B">
        <w:rPr>
          <w:rFonts w:ascii="Arial" w:hAnsi="Arial" w:cs="Arial"/>
          <w:sz w:val="20"/>
          <w:szCs w:val="20"/>
          <w:lang w:eastAsia="en-US"/>
        </w:rPr>
        <w:t>ZVZ rozlišuje výjimky obecné (vycházejí z evropského práva), výjimky pro veřejné zakázky v oblasti obrany a bezpečnosti (vycházejí také z evropského práva), výjimky pouze pro podlimitní veřejné zakázky</w:t>
      </w:r>
      <w:r w:rsidR="00697150" w:rsidRPr="007F3D2B">
        <w:rPr>
          <w:rFonts w:ascii="Arial" w:hAnsi="Arial" w:cs="Arial"/>
          <w:sz w:val="20"/>
          <w:szCs w:val="20"/>
          <w:lang w:eastAsia="en-US"/>
        </w:rPr>
        <w:t xml:space="preserve"> a obecnou výjimku pro veřejné zakázky malého rozsahu</w:t>
      </w:r>
      <w:r w:rsidR="00D22998" w:rsidRPr="007F3D2B">
        <w:rPr>
          <w:rFonts w:ascii="Arial" w:hAnsi="Arial" w:cs="Arial"/>
          <w:sz w:val="20"/>
          <w:szCs w:val="20"/>
          <w:lang w:eastAsia="en-US"/>
        </w:rPr>
        <w:t>.</w:t>
      </w:r>
      <w:r w:rsidR="00697150" w:rsidRPr="007F3D2B">
        <w:rPr>
          <w:rFonts w:ascii="Arial" w:hAnsi="Arial" w:cs="Arial"/>
          <w:sz w:val="20"/>
          <w:szCs w:val="20"/>
          <w:lang w:eastAsia="en-US"/>
        </w:rPr>
        <w:t xml:space="preserve"> </w:t>
      </w:r>
    </w:p>
    <w:p w:rsidR="00385F52" w:rsidRPr="007F3D2B" w:rsidRDefault="00385F52" w:rsidP="007F3D2B">
      <w:pPr>
        <w:spacing w:before="120" w:line="276" w:lineRule="auto"/>
        <w:jc w:val="both"/>
        <w:rPr>
          <w:rFonts w:ascii="Arial" w:hAnsi="Arial" w:cs="Arial"/>
          <w:sz w:val="20"/>
          <w:szCs w:val="20"/>
          <w:lang w:eastAsia="en-US"/>
        </w:rPr>
      </w:pPr>
    </w:p>
    <w:p w:rsidR="00385F52" w:rsidRPr="007F3D2B" w:rsidRDefault="00385F5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p>
    <w:p w:rsidR="00385F52" w:rsidRPr="007F3D2B" w:rsidRDefault="00385F5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Nebude-li některá ze stávajících výjimek </w:t>
      </w:r>
      <w:r w:rsidR="002B1486" w:rsidRPr="007F3D2B">
        <w:rPr>
          <w:rFonts w:ascii="Arial" w:hAnsi="Arial" w:cs="Arial"/>
          <w:sz w:val="20"/>
          <w:szCs w:val="20"/>
          <w:lang w:eastAsia="en-US"/>
        </w:rPr>
        <w:t>v zákoně zakotvena</w:t>
      </w:r>
      <w:r w:rsidRPr="007F3D2B">
        <w:rPr>
          <w:rFonts w:ascii="Arial" w:hAnsi="Arial" w:cs="Arial"/>
          <w:sz w:val="20"/>
          <w:szCs w:val="20"/>
          <w:lang w:eastAsia="en-US"/>
        </w:rPr>
        <w:t xml:space="preserve">, ačkoliv zadávací směrnice tuto výjimku umožňují, lze předpokládat navýšení administrativní zátěže. </w:t>
      </w:r>
    </w:p>
    <w:p w:rsidR="00FC0193" w:rsidRPr="007F3D2B" w:rsidRDefault="00FC0193" w:rsidP="007F3D2B">
      <w:pPr>
        <w:spacing w:before="120" w:line="276" w:lineRule="auto"/>
        <w:jc w:val="both"/>
        <w:rPr>
          <w:rFonts w:ascii="Arial" w:hAnsi="Arial" w:cs="Arial"/>
          <w:sz w:val="20"/>
          <w:szCs w:val="20"/>
          <w:lang w:eastAsia="en-US"/>
        </w:rPr>
      </w:pPr>
    </w:p>
    <w:p w:rsidR="00FC0193" w:rsidRPr="007F3D2B" w:rsidRDefault="004D03C7"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Varianta 2 – rozšíření výjimek v oblasti podlimitních veřejných zakázek</w:t>
      </w:r>
      <w:r w:rsidR="002B1486" w:rsidRPr="007F3D2B">
        <w:rPr>
          <w:rFonts w:ascii="Arial" w:hAnsi="Arial" w:cs="Arial"/>
          <w:b/>
          <w:sz w:val="20"/>
          <w:szCs w:val="20"/>
          <w:lang w:eastAsia="en-US"/>
        </w:rPr>
        <w:t xml:space="preserve"> a zachování výjimky pro veřejné zakázky malého rozsahu</w:t>
      </w:r>
    </w:p>
    <w:p w:rsidR="002B1486" w:rsidRPr="007F3D2B" w:rsidRDefault="002B1486" w:rsidP="007F3D2B">
      <w:pPr>
        <w:spacing w:before="120" w:line="276" w:lineRule="auto"/>
        <w:jc w:val="both"/>
        <w:rPr>
          <w:rFonts w:ascii="Arial" w:hAnsi="Arial" w:cs="Arial"/>
          <w:sz w:val="20"/>
          <w:szCs w:val="20"/>
          <w:lang w:eastAsia="en-US"/>
        </w:rPr>
      </w:pPr>
    </w:p>
    <w:p w:rsidR="002B1486" w:rsidRPr="007F3D2B" w:rsidRDefault="002B148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2B1486" w:rsidRPr="007F3D2B" w:rsidRDefault="002B148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w:t>
      </w:r>
      <w:r w:rsidR="004D03C7" w:rsidRPr="007F3D2B">
        <w:rPr>
          <w:rFonts w:ascii="Arial" w:hAnsi="Arial" w:cs="Arial"/>
          <w:sz w:val="20"/>
          <w:szCs w:val="20"/>
          <w:lang w:eastAsia="en-US"/>
        </w:rPr>
        <w:t>odlimitní oblast není regulována směrnicemi, lze tedy v rámci národní úpravy stanovit</w:t>
      </w:r>
      <w:r w:rsidRPr="007F3D2B">
        <w:rPr>
          <w:rFonts w:ascii="Arial" w:hAnsi="Arial" w:cs="Arial"/>
          <w:sz w:val="20"/>
          <w:szCs w:val="20"/>
          <w:lang w:eastAsia="en-US"/>
        </w:rPr>
        <w:t xml:space="preserve"> výjimky</w:t>
      </w:r>
      <w:r w:rsidR="004D03C7" w:rsidRPr="007F3D2B">
        <w:rPr>
          <w:rFonts w:ascii="Arial" w:hAnsi="Arial" w:cs="Arial"/>
          <w:sz w:val="20"/>
          <w:szCs w:val="20"/>
          <w:lang w:eastAsia="en-US"/>
        </w:rPr>
        <w:t xml:space="preserve"> </w:t>
      </w:r>
      <w:r w:rsidR="002D3A57" w:rsidRPr="007F3D2B">
        <w:rPr>
          <w:rFonts w:ascii="Arial" w:hAnsi="Arial" w:cs="Arial"/>
          <w:sz w:val="20"/>
          <w:szCs w:val="20"/>
          <w:lang w:eastAsia="en-US"/>
        </w:rPr>
        <w:t>dle potřeb</w:t>
      </w:r>
      <w:r w:rsidR="004D03C7" w:rsidRPr="007F3D2B">
        <w:rPr>
          <w:rFonts w:ascii="Arial" w:hAnsi="Arial" w:cs="Arial"/>
          <w:sz w:val="20"/>
          <w:szCs w:val="20"/>
          <w:lang w:eastAsia="en-US"/>
        </w:rPr>
        <w:t xml:space="preserve"> členského státu</w:t>
      </w:r>
      <w:r w:rsidRPr="007F3D2B">
        <w:rPr>
          <w:rFonts w:ascii="Arial" w:hAnsi="Arial" w:cs="Arial"/>
          <w:sz w:val="20"/>
          <w:szCs w:val="20"/>
          <w:lang w:eastAsia="en-US"/>
        </w:rPr>
        <w:t>.</w:t>
      </w:r>
    </w:p>
    <w:p w:rsidR="00FC0193" w:rsidRPr="007F3D2B" w:rsidRDefault="00FC0193" w:rsidP="007F3D2B">
      <w:pPr>
        <w:spacing w:before="120" w:line="276" w:lineRule="auto"/>
        <w:jc w:val="both"/>
        <w:rPr>
          <w:rFonts w:ascii="Arial" w:hAnsi="Arial" w:cs="Arial"/>
          <w:sz w:val="20"/>
          <w:szCs w:val="20"/>
          <w:lang w:eastAsia="en-US"/>
        </w:rPr>
      </w:pPr>
    </w:p>
    <w:p w:rsidR="00FC0193" w:rsidRPr="007F3D2B" w:rsidRDefault="002B148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p>
    <w:p w:rsidR="002B1486" w:rsidRPr="007F3D2B" w:rsidRDefault="002B148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Rozšířením okruhu výjimek v oblasti podlimitních veřejných zakázek dojde ke snížení transparentnosti.</w:t>
      </w:r>
    </w:p>
    <w:p w:rsidR="00E039E3" w:rsidRPr="007F3D2B" w:rsidRDefault="00E039E3" w:rsidP="007F3D2B">
      <w:pPr>
        <w:spacing w:before="120" w:line="276" w:lineRule="auto"/>
        <w:jc w:val="both"/>
        <w:rPr>
          <w:rFonts w:ascii="Arial" w:hAnsi="Arial" w:cs="Arial"/>
          <w:sz w:val="20"/>
          <w:szCs w:val="20"/>
          <w:lang w:eastAsia="en-US"/>
        </w:rPr>
      </w:pPr>
    </w:p>
    <w:p w:rsidR="002B1486" w:rsidRPr="007F3D2B" w:rsidRDefault="004D03C7"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Varianta 3 – zúžení výjimek v oblasti nadlimitních, podlimitních veřejných zakázek nebo veřejných zakázek malého rozsahu</w:t>
      </w:r>
    </w:p>
    <w:p w:rsidR="00FC0193" w:rsidRPr="007F3D2B" w:rsidRDefault="00FC0193" w:rsidP="007F3D2B">
      <w:pPr>
        <w:spacing w:before="120" w:line="276" w:lineRule="auto"/>
        <w:jc w:val="both"/>
        <w:rPr>
          <w:rFonts w:ascii="Arial" w:hAnsi="Arial" w:cs="Arial"/>
          <w:sz w:val="20"/>
          <w:szCs w:val="20"/>
          <w:lang w:eastAsia="en-US"/>
        </w:rPr>
      </w:pPr>
    </w:p>
    <w:p w:rsidR="002B1486" w:rsidRPr="007F3D2B" w:rsidRDefault="002B148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2B1486" w:rsidRPr="007F3D2B" w:rsidRDefault="002B148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Podlimitní oblast není regulována směrnicemi, lze tedy v rámci národní úpravy stanovit výjimky </w:t>
      </w:r>
      <w:r w:rsidR="002D3A57" w:rsidRPr="007F3D2B">
        <w:rPr>
          <w:rFonts w:ascii="Arial" w:hAnsi="Arial" w:cs="Arial"/>
          <w:sz w:val="20"/>
          <w:szCs w:val="20"/>
          <w:lang w:eastAsia="en-US"/>
        </w:rPr>
        <w:t>dle potřeb</w:t>
      </w:r>
      <w:r w:rsidRPr="007F3D2B">
        <w:rPr>
          <w:rFonts w:ascii="Arial" w:hAnsi="Arial" w:cs="Arial"/>
          <w:sz w:val="20"/>
          <w:szCs w:val="20"/>
          <w:lang w:eastAsia="en-US"/>
        </w:rPr>
        <w:t xml:space="preserve"> členského státu.</w:t>
      </w:r>
      <w:r w:rsidR="00697150" w:rsidRPr="007F3D2B">
        <w:rPr>
          <w:rFonts w:ascii="Arial" w:hAnsi="Arial" w:cs="Arial"/>
          <w:sz w:val="20"/>
          <w:szCs w:val="20"/>
          <w:lang w:eastAsia="en-US"/>
        </w:rPr>
        <w:t xml:space="preserve"> Dále lze také postupovat přísněji než stanoví směrnice a některé povolené výjimky nepromítnout do vnitrostátní úpravy.</w:t>
      </w:r>
    </w:p>
    <w:p w:rsidR="007F3D2B" w:rsidRPr="007F3D2B" w:rsidRDefault="007F3D2B" w:rsidP="007F3D2B">
      <w:pPr>
        <w:spacing w:before="120" w:line="276" w:lineRule="auto"/>
        <w:jc w:val="both"/>
        <w:rPr>
          <w:rFonts w:ascii="Arial" w:hAnsi="Arial" w:cs="Arial"/>
          <w:sz w:val="20"/>
          <w:szCs w:val="20"/>
          <w:lang w:eastAsia="en-US"/>
        </w:rPr>
      </w:pPr>
    </w:p>
    <w:p w:rsidR="002B1486" w:rsidRPr="007F3D2B" w:rsidRDefault="002B148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p>
    <w:p w:rsidR="002B1486" w:rsidRPr="007F3D2B" w:rsidRDefault="002B148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Zúžením okruhu</w:t>
      </w:r>
      <w:r w:rsidR="008F081D">
        <w:rPr>
          <w:rFonts w:ascii="Arial" w:hAnsi="Arial" w:cs="Arial"/>
          <w:sz w:val="20"/>
          <w:szCs w:val="20"/>
          <w:lang w:eastAsia="en-US"/>
        </w:rPr>
        <w:t xml:space="preserve"> výjimek v oblasti nadlimitních a</w:t>
      </w:r>
      <w:r w:rsidRPr="007F3D2B">
        <w:rPr>
          <w:rFonts w:ascii="Arial" w:hAnsi="Arial" w:cs="Arial"/>
          <w:sz w:val="20"/>
          <w:szCs w:val="20"/>
          <w:lang w:eastAsia="en-US"/>
        </w:rPr>
        <w:t xml:space="preserve"> podlimitních veřejných zakázek a zakázek malého rozsahu dojde ke zvýšení administrativní zátěže.</w:t>
      </w:r>
      <w:r w:rsidR="002D3A57" w:rsidRPr="007F3D2B">
        <w:rPr>
          <w:rFonts w:ascii="Arial" w:hAnsi="Arial" w:cs="Arial"/>
          <w:sz w:val="20"/>
          <w:szCs w:val="20"/>
          <w:lang w:eastAsia="en-US"/>
        </w:rPr>
        <w:t xml:space="preserve"> Mohlo by tím také dojít k blokaci zadávání spec</w:t>
      </w:r>
      <w:r w:rsidR="00601942">
        <w:rPr>
          <w:rFonts w:ascii="Arial" w:hAnsi="Arial" w:cs="Arial"/>
          <w:sz w:val="20"/>
          <w:szCs w:val="20"/>
          <w:lang w:eastAsia="en-US"/>
        </w:rPr>
        <w:t>ifických veřejných zakázek, jejich</w:t>
      </w:r>
      <w:r w:rsidR="002D3A57" w:rsidRPr="007F3D2B">
        <w:rPr>
          <w:rFonts w:ascii="Arial" w:hAnsi="Arial" w:cs="Arial"/>
          <w:sz w:val="20"/>
          <w:szCs w:val="20"/>
          <w:lang w:eastAsia="en-US"/>
        </w:rPr>
        <w:t xml:space="preserve">ž vlastnosti právě stanovení výjimky odůvodňují. </w:t>
      </w:r>
      <w:r w:rsidR="00697150" w:rsidRPr="007F3D2B">
        <w:rPr>
          <w:rFonts w:ascii="Arial" w:hAnsi="Arial" w:cs="Arial"/>
          <w:sz w:val="20"/>
          <w:szCs w:val="20"/>
          <w:lang w:eastAsia="en-US"/>
        </w:rPr>
        <w:t>Výhodou, která však nepřevyšuje rizika</w:t>
      </w:r>
      <w:r w:rsidR="007F3D2B" w:rsidRPr="007F3D2B">
        <w:rPr>
          <w:rFonts w:ascii="Arial" w:hAnsi="Arial" w:cs="Arial"/>
          <w:sz w:val="20"/>
          <w:szCs w:val="20"/>
          <w:lang w:eastAsia="en-US"/>
        </w:rPr>
        <w:t>,</w:t>
      </w:r>
      <w:r w:rsidR="00697150" w:rsidRPr="007F3D2B">
        <w:rPr>
          <w:rFonts w:ascii="Arial" w:hAnsi="Arial" w:cs="Arial"/>
          <w:sz w:val="20"/>
          <w:szCs w:val="20"/>
          <w:lang w:eastAsia="en-US"/>
        </w:rPr>
        <w:t xml:space="preserve"> by pak byla vyšší transparentnost zadávání veřejných zakázek, které by nově musely být zadávány v režimu zákona.</w:t>
      </w:r>
    </w:p>
    <w:p w:rsidR="002B1486" w:rsidRPr="007F3D2B" w:rsidRDefault="002B1486" w:rsidP="007F3D2B">
      <w:pPr>
        <w:spacing w:before="120" w:line="276" w:lineRule="auto"/>
        <w:jc w:val="both"/>
        <w:rPr>
          <w:rFonts w:ascii="Arial" w:hAnsi="Arial" w:cs="Arial"/>
          <w:sz w:val="20"/>
          <w:szCs w:val="20"/>
          <w:lang w:eastAsia="en-US"/>
        </w:rPr>
      </w:pPr>
    </w:p>
    <w:p w:rsidR="002B1486" w:rsidRPr="007F3D2B" w:rsidRDefault="002B148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Závěr:</w:t>
      </w:r>
    </w:p>
    <w:p w:rsidR="00C00186" w:rsidRDefault="00E039E3"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Varianta 2 se nedoporučuje přijmout. Dosud není znám žádný objektivní důvod, který by podporoval rozšíření katalogu podlimitních výjimek. Dle názoru předkladatele je katalog výjimek pro tuto chvíli zcela vyhovující. </w:t>
      </w:r>
      <w:r>
        <w:rPr>
          <w:rFonts w:ascii="Arial" w:hAnsi="Arial" w:cs="Arial"/>
          <w:sz w:val="20"/>
          <w:szCs w:val="20"/>
          <w:lang w:eastAsia="en-US"/>
        </w:rPr>
        <w:t>Navrhuje se</w:t>
      </w:r>
      <w:r w:rsidR="00C00186" w:rsidRPr="007F3D2B">
        <w:rPr>
          <w:rFonts w:ascii="Arial" w:hAnsi="Arial" w:cs="Arial"/>
          <w:sz w:val="20"/>
          <w:szCs w:val="20"/>
          <w:lang w:eastAsia="en-US"/>
        </w:rPr>
        <w:t xml:space="preserve"> převzít celý katalog výjimek ze směrnic a zároveň neměnit podlimitní výjimky</w:t>
      </w:r>
      <w:r w:rsidR="00697150" w:rsidRPr="007F3D2B">
        <w:rPr>
          <w:rFonts w:ascii="Arial" w:hAnsi="Arial" w:cs="Arial"/>
          <w:sz w:val="20"/>
          <w:szCs w:val="20"/>
          <w:lang w:eastAsia="en-US"/>
        </w:rPr>
        <w:t>, výjimky pro veřejné zakázky v oblasti obrany a bezpečnosti a obecnou výjimku pro veřejné zakázky malého rozsahu</w:t>
      </w:r>
      <w:r w:rsidR="00C00186" w:rsidRPr="007F3D2B">
        <w:rPr>
          <w:rFonts w:ascii="Arial" w:hAnsi="Arial" w:cs="Arial"/>
          <w:sz w:val="20"/>
          <w:szCs w:val="20"/>
          <w:lang w:eastAsia="en-US"/>
        </w:rPr>
        <w:t>, tedy přijetí varianty 1.</w:t>
      </w:r>
    </w:p>
    <w:p w:rsidR="00E039E3" w:rsidRDefault="00E039E3" w:rsidP="007F3D2B">
      <w:pPr>
        <w:spacing w:before="120" w:line="276" w:lineRule="auto"/>
        <w:jc w:val="both"/>
        <w:rPr>
          <w:rFonts w:ascii="Arial" w:hAnsi="Arial" w:cs="Arial"/>
          <w:sz w:val="20"/>
          <w:szCs w:val="20"/>
          <w:lang w:eastAsia="en-US"/>
        </w:rPr>
      </w:pPr>
    </w:p>
    <w:p w:rsidR="00E039E3" w:rsidRPr="007F3D2B" w:rsidRDefault="00E039E3" w:rsidP="007F3D2B">
      <w:pPr>
        <w:spacing w:before="120" w:line="276" w:lineRule="auto"/>
        <w:jc w:val="both"/>
        <w:rPr>
          <w:rFonts w:ascii="Arial" w:hAnsi="Arial" w:cs="Arial"/>
          <w:sz w:val="20"/>
          <w:szCs w:val="20"/>
          <w:lang w:eastAsia="en-US"/>
        </w:rPr>
      </w:pPr>
    </w:p>
    <w:p w:rsidR="006F33C4" w:rsidRPr="007F3D2B" w:rsidRDefault="00986F00"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D</w:t>
      </w:r>
      <w:r w:rsidR="0056431E" w:rsidRPr="007F3D2B">
        <w:rPr>
          <w:rFonts w:ascii="Arial" w:hAnsi="Arial" w:cs="Arial"/>
          <w:b/>
          <w:sz w:val="20"/>
          <w:szCs w:val="20"/>
          <w:lang w:eastAsia="en-US"/>
        </w:rPr>
        <w:t>.</w:t>
      </w:r>
      <w:r w:rsidRPr="007F3D2B">
        <w:rPr>
          <w:rFonts w:ascii="Arial" w:hAnsi="Arial" w:cs="Arial"/>
          <w:b/>
          <w:sz w:val="20"/>
          <w:szCs w:val="20"/>
          <w:lang w:eastAsia="en-US"/>
        </w:rPr>
        <w:t xml:space="preserve"> </w:t>
      </w:r>
      <w:r w:rsidR="004D03C7" w:rsidRPr="007F3D2B">
        <w:rPr>
          <w:rFonts w:ascii="Arial" w:hAnsi="Arial" w:cs="Arial"/>
          <w:b/>
          <w:sz w:val="20"/>
          <w:szCs w:val="20"/>
          <w:lang w:eastAsia="en-US"/>
        </w:rPr>
        <w:t>Podlimitní veřejné zakázky</w:t>
      </w:r>
    </w:p>
    <w:p w:rsidR="002B1486" w:rsidRPr="007F3D2B" w:rsidRDefault="002B1486" w:rsidP="007F3D2B">
      <w:pPr>
        <w:spacing w:before="120" w:line="276" w:lineRule="auto"/>
        <w:jc w:val="both"/>
        <w:rPr>
          <w:rFonts w:ascii="Arial" w:hAnsi="Arial" w:cs="Arial"/>
          <w:b/>
          <w:sz w:val="20"/>
          <w:szCs w:val="20"/>
          <w:lang w:eastAsia="en-US"/>
        </w:rPr>
      </w:pPr>
    </w:p>
    <w:p w:rsidR="002B1486" w:rsidRPr="007F3D2B" w:rsidRDefault="002B1486"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Varianta 1 –</w:t>
      </w:r>
      <w:r w:rsidR="00992916" w:rsidRPr="007F3D2B">
        <w:rPr>
          <w:rFonts w:ascii="Arial" w:hAnsi="Arial" w:cs="Arial"/>
          <w:b/>
          <w:sz w:val="20"/>
          <w:szCs w:val="20"/>
          <w:lang w:eastAsia="en-US"/>
        </w:rPr>
        <w:t xml:space="preserve"> nulová varianta</w:t>
      </w:r>
    </w:p>
    <w:p w:rsidR="002B1486" w:rsidRPr="007F3D2B" w:rsidRDefault="002B1486" w:rsidP="007F3D2B">
      <w:pPr>
        <w:spacing w:before="120" w:line="276" w:lineRule="auto"/>
        <w:jc w:val="both"/>
        <w:rPr>
          <w:rFonts w:ascii="Arial" w:hAnsi="Arial" w:cs="Arial"/>
          <w:sz w:val="20"/>
          <w:szCs w:val="20"/>
          <w:lang w:eastAsia="en-US"/>
        </w:rPr>
      </w:pPr>
    </w:p>
    <w:p w:rsidR="002B1486" w:rsidRPr="007F3D2B" w:rsidRDefault="002B148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2B1486" w:rsidRPr="007F3D2B" w:rsidRDefault="004D03C7"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Zachování současného stavu upraveného dle stávající právní úpravy</w:t>
      </w:r>
      <w:r w:rsidR="00601942">
        <w:rPr>
          <w:rFonts w:ascii="Arial" w:hAnsi="Arial" w:cs="Arial"/>
          <w:sz w:val="20"/>
          <w:szCs w:val="20"/>
          <w:lang w:eastAsia="en-US"/>
        </w:rPr>
        <w:t>,</w:t>
      </w:r>
      <w:r w:rsidR="001B3CBE" w:rsidRPr="007F3D2B">
        <w:rPr>
          <w:rFonts w:ascii="Arial" w:hAnsi="Arial" w:cs="Arial"/>
          <w:sz w:val="20"/>
          <w:szCs w:val="20"/>
          <w:lang w:eastAsia="en-US"/>
        </w:rPr>
        <w:t xml:space="preserve"> tedy zachování možnosti zadat podlimitní veřejnou zakázku jak v otevřeném zadávacím řízení, tak ve zjednodušeném podlimitním řízení. Zjednodušené podlimitní řízení, tak jak je nyní regulováno, se (až na délku lhůt a způsob prokazování splnění kvalifikace) svou náročností v zásadě neliší od otevřeného řízení</w:t>
      </w:r>
      <w:r w:rsidR="00393ADB" w:rsidRPr="007F3D2B">
        <w:rPr>
          <w:rFonts w:ascii="Arial" w:hAnsi="Arial" w:cs="Arial"/>
          <w:sz w:val="20"/>
          <w:szCs w:val="20"/>
          <w:lang w:eastAsia="en-US"/>
        </w:rPr>
        <w:t xml:space="preserve"> a důvody pro vyřazení nabídky a vyloučení uchazeče, případně možnosti odstranění chyby v nabídce, jsou stanoveny stejně přísně jako v řízení otevřeném</w:t>
      </w:r>
      <w:r w:rsidR="001B3CBE" w:rsidRPr="007F3D2B">
        <w:rPr>
          <w:rFonts w:ascii="Arial" w:hAnsi="Arial" w:cs="Arial"/>
          <w:sz w:val="20"/>
          <w:szCs w:val="20"/>
          <w:lang w:eastAsia="en-US"/>
        </w:rPr>
        <w:t xml:space="preserve">. </w:t>
      </w:r>
      <w:r w:rsidR="003272D0" w:rsidRPr="007F3D2B">
        <w:rPr>
          <w:rFonts w:ascii="Arial" w:hAnsi="Arial" w:cs="Arial"/>
          <w:sz w:val="20"/>
          <w:szCs w:val="20"/>
          <w:lang w:eastAsia="en-US"/>
        </w:rPr>
        <w:t>Zjednodušené podlimitní řízení je</w:t>
      </w:r>
      <w:r w:rsidR="001B3CBE" w:rsidRPr="007F3D2B">
        <w:rPr>
          <w:rFonts w:ascii="Arial" w:hAnsi="Arial" w:cs="Arial"/>
          <w:sz w:val="20"/>
          <w:szCs w:val="20"/>
          <w:lang w:eastAsia="en-US"/>
        </w:rPr>
        <w:t xml:space="preserve"> tedy </w:t>
      </w:r>
      <w:r w:rsidR="003272D0" w:rsidRPr="007F3D2B">
        <w:rPr>
          <w:rFonts w:ascii="Arial" w:hAnsi="Arial" w:cs="Arial"/>
          <w:sz w:val="20"/>
          <w:szCs w:val="20"/>
          <w:lang w:eastAsia="en-US"/>
        </w:rPr>
        <w:t xml:space="preserve">navzdory svému označení </w:t>
      </w:r>
      <w:r w:rsidR="001B3CBE" w:rsidRPr="007F3D2B">
        <w:rPr>
          <w:rFonts w:ascii="Arial" w:hAnsi="Arial" w:cs="Arial"/>
          <w:sz w:val="20"/>
          <w:szCs w:val="20"/>
          <w:lang w:eastAsia="en-US"/>
        </w:rPr>
        <w:t xml:space="preserve">pro zadavatele administrativně a časově poměrně </w:t>
      </w:r>
      <w:r w:rsidR="003272D0" w:rsidRPr="007F3D2B">
        <w:rPr>
          <w:rFonts w:ascii="Arial" w:hAnsi="Arial" w:cs="Arial"/>
          <w:sz w:val="20"/>
          <w:szCs w:val="20"/>
          <w:lang w:eastAsia="en-US"/>
        </w:rPr>
        <w:t>náročné</w:t>
      </w:r>
      <w:r w:rsidR="00601942">
        <w:rPr>
          <w:rFonts w:ascii="Arial" w:hAnsi="Arial" w:cs="Arial"/>
          <w:sz w:val="20"/>
          <w:szCs w:val="20"/>
          <w:lang w:eastAsia="en-US"/>
        </w:rPr>
        <w:t xml:space="preserve"> –</w:t>
      </w:r>
      <w:r w:rsidR="00393ADB" w:rsidRPr="007F3D2B">
        <w:rPr>
          <w:rFonts w:ascii="Arial" w:hAnsi="Arial" w:cs="Arial"/>
          <w:sz w:val="20"/>
          <w:szCs w:val="20"/>
          <w:lang w:eastAsia="en-US"/>
        </w:rPr>
        <w:t xml:space="preserve"> tato náročnost není dle názoru předkladatele přiměřená předpokládané hodnotě podlimitních veřejných zakázek</w:t>
      </w:r>
      <w:r w:rsidR="003272D0" w:rsidRPr="007F3D2B">
        <w:rPr>
          <w:rFonts w:ascii="Arial" w:hAnsi="Arial" w:cs="Arial"/>
          <w:sz w:val="20"/>
          <w:szCs w:val="20"/>
          <w:lang w:eastAsia="en-US"/>
        </w:rPr>
        <w:t xml:space="preserve">. </w:t>
      </w:r>
    </w:p>
    <w:p w:rsidR="00992916" w:rsidRPr="007F3D2B" w:rsidRDefault="00992916" w:rsidP="007F3D2B">
      <w:pPr>
        <w:spacing w:before="120" w:line="276" w:lineRule="auto"/>
        <w:jc w:val="both"/>
        <w:rPr>
          <w:rFonts w:ascii="Arial" w:hAnsi="Arial" w:cs="Arial"/>
          <w:sz w:val="20"/>
          <w:szCs w:val="20"/>
          <w:lang w:eastAsia="en-US"/>
        </w:rPr>
      </w:pPr>
    </w:p>
    <w:p w:rsidR="002B1486" w:rsidRPr="007F3D2B" w:rsidRDefault="002B148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3272D0" w:rsidRPr="007F3D2B">
        <w:rPr>
          <w:rFonts w:ascii="Arial" w:hAnsi="Arial" w:cs="Arial"/>
          <w:sz w:val="20"/>
          <w:szCs w:val="20"/>
          <w:lang w:eastAsia="en-US"/>
        </w:rPr>
        <w:t xml:space="preserve"> a </w:t>
      </w:r>
      <w:r w:rsidR="00A67CBE" w:rsidRPr="007F3D2B">
        <w:rPr>
          <w:rFonts w:ascii="Arial" w:hAnsi="Arial" w:cs="Arial"/>
          <w:sz w:val="20"/>
          <w:szCs w:val="20"/>
          <w:lang w:eastAsia="en-US"/>
        </w:rPr>
        <w:t>přínosy</w:t>
      </w:r>
      <w:r w:rsidRPr="007F3D2B">
        <w:rPr>
          <w:rFonts w:ascii="Arial" w:hAnsi="Arial" w:cs="Arial"/>
          <w:sz w:val="20"/>
          <w:szCs w:val="20"/>
          <w:lang w:eastAsia="en-US"/>
        </w:rPr>
        <w:t>:</w:t>
      </w:r>
    </w:p>
    <w:p w:rsidR="00F65D79" w:rsidRPr="007F3D2B" w:rsidRDefault="002159E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Pokračující administrativní náročnost spojená se zachováním vysokých transakčních nákladů</w:t>
      </w:r>
      <w:r w:rsidR="00745435" w:rsidRPr="007F3D2B">
        <w:rPr>
          <w:rFonts w:ascii="Arial" w:hAnsi="Arial" w:cs="Arial"/>
          <w:sz w:val="20"/>
          <w:szCs w:val="20"/>
          <w:lang w:eastAsia="en-US"/>
        </w:rPr>
        <w:t>.</w:t>
      </w:r>
      <w:r w:rsidR="003272D0" w:rsidRPr="007F3D2B">
        <w:rPr>
          <w:rFonts w:ascii="Arial" w:hAnsi="Arial" w:cs="Arial"/>
          <w:sz w:val="20"/>
          <w:szCs w:val="20"/>
          <w:lang w:eastAsia="en-US"/>
        </w:rPr>
        <w:t xml:space="preserve"> Výhodou, která ale nijak nepřevyšuje nevýhody, je pak vysoká transparentnost řízení, kterou je však možno zachovat i za předpokladu přijetí navrhované varianty</w:t>
      </w:r>
      <w:r w:rsidR="00601942">
        <w:rPr>
          <w:rFonts w:ascii="Arial" w:hAnsi="Arial" w:cs="Arial"/>
          <w:sz w:val="20"/>
          <w:szCs w:val="20"/>
          <w:lang w:eastAsia="en-US"/>
        </w:rPr>
        <w:t>,</w:t>
      </w:r>
      <w:r w:rsidR="003272D0" w:rsidRPr="007F3D2B">
        <w:rPr>
          <w:rFonts w:ascii="Arial" w:hAnsi="Arial" w:cs="Arial"/>
          <w:sz w:val="20"/>
          <w:szCs w:val="20"/>
          <w:lang w:eastAsia="en-US"/>
        </w:rPr>
        <w:t xml:space="preserve"> viz níže.</w:t>
      </w:r>
    </w:p>
    <w:p w:rsidR="002159E2" w:rsidRPr="007F3D2B" w:rsidRDefault="002159E2" w:rsidP="007F3D2B">
      <w:pPr>
        <w:spacing w:before="120" w:line="276" w:lineRule="auto"/>
        <w:jc w:val="both"/>
        <w:rPr>
          <w:rFonts w:ascii="Arial" w:hAnsi="Arial" w:cs="Arial"/>
          <w:sz w:val="20"/>
          <w:szCs w:val="20"/>
          <w:lang w:eastAsia="en-US"/>
        </w:rPr>
      </w:pPr>
    </w:p>
    <w:p w:rsidR="002B1486" w:rsidRPr="007F3D2B" w:rsidRDefault="002B1486"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 xml:space="preserve">Varianta 2 – </w:t>
      </w:r>
      <w:r w:rsidR="00F65D79" w:rsidRPr="007F3D2B">
        <w:rPr>
          <w:rFonts w:ascii="Arial" w:hAnsi="Arial" w:cs="Arial"/>
          <w:b/>
          <w:sz w:val="20"/>
          <w:szCs w:val="20"/>
          <w:lang w:eastAsia="en-US"/>
        </w:rPr>
        <w:t>Zjednodušení podlimitního režimu umožněním prvku jednání ve všech řízeních</w:t>
      </w:r>
    </w:p>
    <w:p w:rsidR="002B1486" w:rsidRPr="007F3D2B" w:rsidRDefault="002B1486" w:rsidP="007F3D2B">
      <w:pPr>
        <w:spacing w:before="120" w:line="276" w:lineRule="auto"/>
        <w:jc w:val="both"/>
        <w:rPr>
          <w:rFonts w:ascii="Arial" w:hAnsi="Arial" w:cs="Arial"/>
          <w:sz w:val="20"/>
          <w:szCs w:val="20"/>
          <w:lang w:eastAsia="en-US"/>
        </w:rPr>
      </w:pPr>
    </w:p>
    <w:p w:rsidR="002B1486" w:rsidRPr="007F3D2B" w:rsidRDefault="002B148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2B1486" w:rsidRPr="007F3D2B" w:rsidRDefault="002159E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Zadavatelé budou mít </w:t>
      </w:r>
      <w:r w:rsidR="0016068F" w:rsidRPr="007F3D2B">
        <w:rPr>
          <w:rFonts w:ascii="Arial" w:hAnsi="Arial" w:cs="Arial"/>
          <w:sz w:val="20"/>
          <w:szCs w:val="20"/>
          <w:lang w:eastAsia="en-US"/>
        </w:rPr>
        <w:t xml:space="preserve">při zadávání podlimitních zakázek </w:t>
      </w:r>
      <w:r w:rsidRPr="007F3D2B">
        <w:rPr>
          <w:rFonts w:ascii="Arial" w:hAnsi="Arial" w:cs="Arial"/>
          <w:sz w:val="20"/>
          <w:szCs w:val="20"/>
          <w:lang w:eastAsia="en-US"/>
        </w:rPr>
        <w:t>možnost jednat o nabídkách ve všech druzích zadávacích řízení, tedy zejména v otevřeném a užším řízení.</w:t>
      </w:r>
    </w:p>
    <w:p w:rsidR="00F65D79" w:rsidRPr="007F3D2B" w:rsidRDefault="00F65D79" w:rsidP="007F3D2B">
      <w:pPr>
        <w:spacing w:before="120" w:line="276" w:lineRule="auto"/>
        <w:jc w:val="both"/>
        <w:rPr>
          <w:rFonts w:ascii="Arial" w:hAnsi="Arial" w:cs="Arial"/>
          <w:sz w:val="20"/>
          <w:szCs w:val="20"/>
          <w:lang w:eastAsia="en-US"/>
        </w:rPr>
      </w:pPr>
    </w:p>
    <w:p w:rsidR="002B1486" w:rsidRPr="007F3D2B" w:rsidRDefault="002B148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41722D" w:rsidRPr="007F3D2B">
        <w:rPr>
          <w:rFonts w:ascii="Arial" w:hAnsi="Arial" w:cs="Arial"/>
          <w:sz w:val="20"/>
          <w:szCs w:val="20"/>
          <w:lang w:eastAsia="en-US"/>
        </w:rPr>
        <w:t xml:space="preserve"> a </w:t>
      </w:r>
      <w:r w:rsidR="00C174CD" w:rsidRPr="007F3D2B">
        <w:rPr>
          <w:rFonts w:ascii="Arial" w:hAnsi="Arial" w:cs="Arial"/>
          <w:sz w:val="20"/>
          <w:szCs w:val="20"/>
          <w:lang w:eastAsia="en-US"/>
        </w:rPr>
        <w:t>přínosy</w:t>
      </w:r>
      <w:r w:rsidRPr="007F3D2B">
        <w:rPr>
          <w:rFonts w:ascii="Arial" w:hAnsi="Arial" w:cs="Arial"/>
          <w:sz w:val="20"/>
          <w:szCs w:val="20"/>
          <w:lang w:eastAsia="en-US"/>
        </w:rPr>
        <w:t>:</w:t>
      </w:r>
    </w:p>
    <w:p w:rsidR="002B1486" w:rsidRPr="007F3D2B" w:rsidRDefault="002159E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Postup by zavedl rozdílná principiální procesní pravidla pro nadlimitní zakázky a podlimitní zakázky, kdy by mohlo dojít ke zmatení zadavatelů a dodavatelů, zároveň by tím ztratilo opodstatnění zjednodušené podlimitní řízení, které je z povahy jednoduché a zadavatelé jej běžně používají.</w:t>
      </w:r>
    </w:p>
    <w:p w:rsidR="002B1486" w:rsidRPr="007F3D2B" w:rsidRDefault="0041722D"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Výhodou, která je však zachována i v navrhované variantě, by pak bylo umožnění jednání, čili umožnění odstranění chyb v nabídkách a zároveň</w:t>
      </w:r>
      <w:r w:rsidR="0016068F" w:rsidRPr="007F3D2B">
        <w:rPr>
          <w:rFonts w:ascii="Arial" w:hAnsi="Arial" w:cs="Arial"/>
          <w:sz w:val="20"/>
          <w:szCs w:val="20"/>
          <w:lang w:eastAsia="en-US"/>
        </w:rPr>
        <w:t xml:space="preserve"> jednáním o nabídkách</w:t>
      </w:r>
      <w:r w:rsidRPr="007F3D2B">
        <w:rPr>
          <w:rFonts w:ascii="Arial" w:hAnsi="Arial" w:cs="Arial"/>
          <w:sz w:val="20"/>
          <w:szCs w:val="20"/>
          <w:lang w:eastAsia="en-US"/>
        </w:rPr>
        <w:t xml:space="preserve"> možnost získání ekonomicky výhodnější nabídky pro zadavatele. </w:t>
      </w:r>
    </w:p>
    <w:p w:rsidR="002B1486" w:rsidRPr="007F3D2B" w:rsidRDefault="002B1486" w:rsidP="007F3D2B">
      <w:pPr>
        <w:spacing w:before="120" w:line="276" w:lineRule="auto"/>
        <w:jc w:val="both"/>
        <w:rPr>
          <w:rFonts w:ascii="Arial" w:hAnsi="Arial" w:cs="Arial"/>
          <w:sz w:val="20"/>
          <w:szCs w:val="20"/>
          <w:lang w:eastAsia="en-US"/>
        </w:rPr>
      </w:pPr>
    </w:p>
    <w:p w:rsidR="002B1486" w:rsidRPr="007F3D2B" w:rsidRDefault="002B1486"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 xml:space="preserve">Varianta 3 – </w:t>
      </w:r>
      <w:r w:rsidR="00E036A3" w:rsidRPr="007F3D2B">
        <w:rPr>
          <w:rFonts w:ascii="Arial" w:hAnsi="Arial" w:cs="Arial"/>
          <w:b/>
          <w:sz w:val="20"/>
          <w:szCs w:val="20"/>
          <w:lang w:eastAsia="en-US"/>
        </w:rPr>
        <w:t>zachování zjednodušeného podlimitního řízení a u ostatních řízení zjednodušit procesní pravidla, ze</w:t>
      </w:r>
      <w:r w:rsidR="00382B02" w:rsidRPr="007F3D2B">
        <w:rPr>
          <w:rFonts w:ascii="Arial" w:hAnsi="Arial" w:cs="Arial"/>
          <w:b/>
          <w:sz w:val="20"/>
          <w:szCs w:val="20"/>
          <w:lang w:eastAsia="en-US"/>
        </w:rPr>
        <w:t>jména lhůty a systém prokazování kvalifikace</w:t>
      </w:r>
      <w:r w:rsidR="00F43B0D" w:rsidRPr="007F3D2B">
        <w:rPr>
          <w:rFonts w:ascii="Arial" w:hAnsi="Arial" w:cs="Arial"/>
          <w:b/>
          <w:sz w:val="20"/>
          <w:szCs w:val="20"/>
          <w:lang w:eastAsia="en-US"/>
        </w:rPr>
        <w:t xml:space="preserve"> a zároveň umožnit podlimitní zakázky zadávat v jednacím řízení s uveřejnění bez splnění dalším podmínek</w:t>
      </w:r>
    </w:p>
    <w:p w:rsidR="002B1486" w:rsidRPr="007F3D2B" w:rsidRDefault="002B1486" w:rsidP="007F3D2B">
      <w:pPr>
        <w:spacing w:before="120" w:line="276" w:lineRule="auto"/>
        <w:jc w:val="both"/>
        <w:rPr>
          <w:rFonts w:ascii="Arial" w:hAnsi="Arial" w:cs="Arial"/>
          <w:sz w:val="20"/>
          <w:szCs w:val="20"/>
          <w:lang w:eastAsia="en-US"/>
        </w:rPr>
      </w:pPr>
    </w:p>
    <w:p w:rsidR="002B1486" w:rsidRPr="007F3D2B" w:rsidRDefault="002B148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2B1486" w:rsidRPr="007F3D2B" w:rsidRDefault="002159E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U standardních řízení – u otevřeného a užšího řízení dojde ke zkrácení lhůt pro podání nabídek, kvalifikace by prokazoval pouze dodavatel s nejvýhodnější nabídkou, zároveň by o řízení vznikla jedna zpráva</w:t>
      </w:r>
      <w:r w:rsidR="003C0AAB" w:rsidRPr="007F3D2B">
        <w:rPr>
          <w:rFonts w:ascii="Arial" w:hAnsi="Arial" w:cs="Arial"/>
          <w:sz w:val="20"/>
          <w:szCs w:val="20"/>
          <w:lang w:eastAsia="en-US"/>
        </w:rPr>
        <w:t xml:space="preserve"> </w:t>
      </w:r>
      <w:r w:rsidR="00C174CD" w:rsidRPr="007F3D2B">
        <w:rPr>
          <w:rFonts w:ascii="Arial" w:hAnsi="Arial" w:cs="Arial"/>
          <w:sz w:val="20"/>
          <w:szCs w:val="20"/>
          <w:lang w:eastAsia="en-US"/>
        </w:rPr>
        <w:t xml:space="preserve">obsahově obdobná rozsahu nyní povinně vyhotovovaných dokumentů </w:t>
      </w:r>
      <w:r w:rsidR="003C0AAB" w:rsidRPr="007F3D2B">
        <w:rPr>
          <w:rFonts w:ascii="Arial" w:hAnsi="Arial" w:cs="Arial"/>
          <w:sz w:val="20"/>
          <w:szCs w:val="20"/>
          <w:lang w:eastAsia="en-US"/>
        </w:rPr>
        <w:t xml:space="preserve">(nevyhotovoval by </w:t>
      </w:r>
      <w:r w:rsidR="003C0AAB" w:rsidRPr="007F3D2B">
        <w:rPr>
          <w:rFonts w:ascii="Arial" w:hAnsi="Arial" w:cs="Arial"/>
          <w:sz w:val="20"/>
          <w:szCs w:val="20"/>
          <w:lang w:eastAsia="en-US"/>
        </w:rPr>
        <w:lastRenderedPageBreak/>
        <w:t>se tedy protokol o posouzení kvalifikace, zpráva o posouzení a hodnocení nabídek a písemná zpráva zadavatele)</w:t>
      </w:r>
      <w:r w:rsidRPr="007F3D2B">
        <w:rPr>
          <w:rFonts w:ascii="Arial" w:hAnsi="Arial" w:cs="Arial"/>
          <w:sz w:val="20"/>
          <w:szCs w:val="20"/>
          <w:lang w:eastAsia="en-US"/>
        </w:rPr>
        <w:t xml:space="preserve"> a zadavatel by</w:t>
      </w:r>
      <w:r w:rsidR="003C0AAB" w:rsidRPr="007F3D2B">
        <w:rPr>
          <w:rFonts w:ascii="Arial" w:hAnsi="Arial" w:cs="Arial"/>
          <w:sz w:val="20"/>
          <w:szCs w:val="20"/>
          <w:lang w:eastAsia="en-US"/>
        </w:rPr>
        <w:t xml:space="preserve"> tak</w:t>
      </w:r>
      <w:r w:rsidRPr="007F3D2B">
        <w:rPr>
          <w:rFonts w:ascii="Arial" w:hAnsi="Arial" w:cs="Arial"/>
          <w:sz w:val="20"/>
          <w:szCs w:val="20"/>
          <w:lang w:eastAsia="en-US"/>
        </w:rPr>
        <w:t xml:space="preserve"> nemusel vytvářet celou řadu protokolů.</w:t>
      </w:r>
      <w:r w:rsidR="00F43B0D" w:rsidRPr="007F3D2B">
        <w:rPr>
          <w:rFonts w:ascii="Arial" w:hAnsi="Arial" w:cs="Arial"/>
          <w:sz w:val="20"/>
          <w:szCs w:val="20"/>
          <w:lang w:eastAsia="en-US"/>
        </w:rPr>
        <w:t xml:space="preserve"> Dále by pak bylo umožněno zadat podlimitní veřejnou zakázku v jednacím řízení s</w:t>
      </w:r>
      <w:r w:rsidR="00601942">
        <w:rPr>
          <w:rFonts w:ascii="Arial" w:hAnsi="Arial" w:cs="Arial"/>
          <w:sz w:val="20"/>
          <w:szCs w:val="20"/>
          <w:lang w:eastAsia="en-US"/>
        </w:rPr>
        <w:t> </w:t>
      </w:r>
      <w:r w:rsidR="00F43B0D" w:rsidRPr="007F3D2B">
        <w:rPr>
          <w:rFonts w:ascii="Arial" w:hAnsi="Arial" w:cs="Arial"/>
          <w:sz w:val="20"/>
          <w:szCs w:val="20"/>
          <w:lang w:eastAsia="en-US"/>
        </w:rPr>
        <w:t>uveřejněním</w:t>
      </w:r>
      <w:r w:rsidR="00601942">
        <w:rPr>
          <w:rFonts w:ascii="Arial" w:hAnsi="Arial" w:cs="Arial"/>
          <w:sz w:val="20"/>
          <w:szCs w:val="20"/>
          <w:lang w:eastAsia="en-US"/>
        </w:rPr>
        <w:t>,</w:t>
      </w:r>
      <w:r w:rsidR="00F43B0D" w:rsidRPr="007F3D2B">
        <w:rPr>
          <w:rFonts w:ascii="Arial" w:hAnsi="Arial" w:cs="Arial"/>
          <w:sz w:val="20"/>
          <w:szCs w:val="20"/>
          <w:lang w:eastAsia="en-US"/>
        </w:rPr>
        <w:t xml:space="preserve"> a to vždy, bez požadavku splnění dalších podmínek. Možnost zadat podlimitní veřejnou zakázkou ve zbývajících druzích řízení, za splnění podmínek vymezených pro aplikaci těchto řízení v zákoně, by zůstala zachována. </w:t>
      </w:r>
    </w:p>
    <w:p w:rsidR="002159E2" w:rsidRPr="007F3D2B" w:rsidRDefault="002159E2" w:rsidP="007F3D2B">
      <w:pPr>
        <w:spacing w:before="120" w:line="276" w:lineRule="auto"/>
        <w:jc w:val="both"/>
        <w:rPr>
          <w:rFonts w:ascii="Arial" w:hAnsi="Arial" w:cs="Arial"/>
          <w:sz w:val="20"/>
          <w:szCs w:val="20"/>
          <w:lang w:eastAsia="en-US"/>
        </w:rPr>
      </w:pPr>
    </w:p>
    <w:p w:rsidR="00F65D79" w:rsidRPr="007F3D2B" w:rsidRDefault="002B148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C174CD" w:rsidRPr="007F3D2B">
        <w:rPr>
          <w:rFonts w:ascii="Arial" w:hAnsi="Arial" w:cs="Arial"/>
          <w:sz w:val="20"/>
          <w:szCs w:val="20"/>
          <w:lang w:eastAsia="en-US"/>
        </w:rPr>
        <w:t xml:space="preserve"> a přínosy</w:t>
      </w:r>
      <w:r w:rsidRPr="007F3D2B">
        <w:rPr>
          <w:rFonts w:ascii="Arial" w:hAnsi="Arial" w:cs="Arial"/>
          <w:sz w:val="20"/>
          <w:szCs w:val="20"/>
          <w:lang w:eastAsia="en-US"/>
        </w:rPr>
        <w:t>:</w:t>
      </w:r>
    </w:p>
    <w:p w:rsidR="002159E2" w:rsidRPr="007F3D2B" w:rsidRDefault="002159E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Zadavatelé by mohli být znejistěni režimem a zaměňovat pravidla, jde ovšem jen o úpravu obecných pravidel, nejedná se o principiální změny.</w:t>
      </w:r>
      <w:r w:rsidR="00C174CD" w:rsidRPr="007F3D2B">
        <w:rPr>
          <w:rFonts w:ascii="Arial" w:hAnsi="Arial" w:cs="Arial"/>
          <w:sz w:val="20"/>
          <w:szCs w:val="20"/>
          <w:lang w:eastAsia="en-US"/>
        </w:rPr>
        <w:t xml:space="preserve"> Přijetím této varianty by však došlo k zásadnímu zjednodušení zadávání podlimitních veřejných zakázek, snížení administrativní zátěže</w:t>
      </w:r>
      <w:r w:rsidR="00BA5C4E">
        <w:rPr>
          <w:rFonts w:ascii="Arial" w:hAnsi="Arial" w:cs="Arial"/>
          <w:sz w:val="20"/>
          <w:szCs w:val="20"/>
          <w:lang w:eastAsia="en-US"/>
        </w:rPr>
        <w:t>,</w:t>
      </w:r>
      <w:r w:rsidR="00C174CD" w:rsidRPr="007F3D2B">
        <w:rPr>
          <w:rFonts w:ascii="Arial" w:hAnsi="Arial" w:cs="Arial"/>
          <w:sz w:val="20"/>
          <w:szCs w:val="20"/>
          <w:lang w:eastAsia="en-US"/>
        </w:rPr>
        <w:t xml:space="preserve"> a to jak na straně dodavatelů, tak na straně zadavatelů. Dále by došlo ke kumulaci okamžiku pro podání námitek – jelikož by vznikala jen jedna zpráva, možnost podat námitky by tedy vznikala až okamžikem doručení této zprávy uchazečům a tím by se vyloučilo podávání námitek v jiných </w:t>
      </w:r>
      <w:r w:rsidR="00F81B43" w:rsidRPr="007F3D2B">
        <w:rPr>
          <w:rFonts w:ascii="Arial" w:hAnsi="Arial" w:cs="Arial"/>
          <w:sz w:val="20"/>
          <w:szCs w:val="20"/>
          <w:lang w:eastAsia="en-US"/>
        </w:rPr>
        <w:t xml:space="preserve">okamžicích procesu zadávání, </w:t>
      </w:r>
      <w:r w:rsidR="00C174CD" w:rsidRPr="007F3D2B">
        <w:rPr>
          <w:rFonts w:ascii="Arial" w:hAnsi="Arial" w:cs="Arial"/>
          <w:sz w:val="20"/>
          <w:szCs w:val="20"/>
          <w:lang w:eastAsia="en-US"/>
        </w:rPr>
        <w:t xml:space="preserve">čímž by </w:t>
      </w:r>
      <w:r w:rsidR="00F81B43" w:rsidRPr="007F3D2B">
        <w:rPr>
          <w:rFonts w:ascii="Arial" w:hAnsi="Arial" w:cs="Arial"/>
          <w:sz w:val="20"/>
          <w:szCs w:val="20"/>
          <w:lang w:eastAsia="en-US"/>
        </w:rPr>
        <w:t>bylo dosaženo</w:t>
      </w:r>
      <w:r w:rsidR="00C174CD" w:rsidRPr="007F3D2B">
        <w:rPr>
          <w:rFonts w:ascii="Arial" w:hAnsi="Arial" w:cs="Arial"/>
          <w:sz w:val="20"/>
          <w:szCs w:val="20"/>
          <w:lang w:eastAsia="en-US"/>
        </w:rPr>
        <w:t xml:space="preserve"> snížení administrativní náročnosti celého řízení.</w:t>
      </w:r>
    </w:p>
    <w:p w:rsidR="00F43B0D" w:rsidRPr="007F3D2B" w:rsidRDefault="00F43B0D"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Umožnění použití jednacího řízení s uveřejněním, tedy prvek jednání</w:t>
      </w:r>
      <w:r w:rsidR="00BA5C4E">
        <w:rPr>
          <w:rFonts w:ascii="Arial" w:hAnsi="Arial" w:cs="Arial"/>
          <w:sz w:val="20"/>
          <w:szCs w:val="20"/>
          <w:lang w:eastAsia="en-US"/>
        </w:rPr>
        <w:t>,</w:t>
      </w:r>
      <w:r w:rsidRPr="007F3D2B">
        <w:rPr>
          <w:rFonts w:ascii="Arial" w:hAnsi="Arial" w:cs="Arial"/>
          <w:sz w:val="20"/>
          <w:szCs w:val="20"/>
          <w:lang w:eastAsia="en-US"/>
        </w:rPr>
        <w:t xml:space="preserve"> by dále vedl k flexibilnímu a hospodárnému jednání zadavatele, jelikož by v rámci jednání bylo možno odstranit řadu chyb v nabídkách, které by za situace, kdy by jednání nebylo umožněno, vedly k vyřazení nabídky a vyloučení uchazeče. Zároveň je jednání o nabídkách nástrojem, který umožňuje získání ekonomicky výhodnější nabídky pro zadavatele. </w:t>
      </w:r>
    </w:p>
    <w:p w:rsidR="00F43B0D" w:rsidRPr="007F3D2B" w:rsidRDefault="00F43B0D" w:rsidP="007F3D2B">
      <w:pPr>
        <w:spacing w:before="120" w:line="276" w:lineRule="auto"/>
        <w:jc w:val="both"/>
        <w:rPr>
          <w:rFonts w:ascii="Arial" w:hAnsi="Arial" w:cs="Arial"/>
          <w:sz w:val="20"/>
          <w:szCs w:val="20"/>
          <w:lang w:eastAsia="en-US"/>
        </w:rPr>
      </w:pPr>
    </w:p>
    <w:p w:rsidR="00AF7CEF" w:rsidRPr="007F3D2B" w:rsidRDefault="00AF7CEF"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Je velice obtížné odhadovat finanční úsporu, kterou by přineslo přijetí této varianty. Dle odhadů předkladatele by se jednalo asi o čtvrtinu </w:t>
      </w:r>
      <w:r w:rsidR="00BA5C4E">
        <w:rPr>
          <w:rFonts w:ascii="Arial" w:hAnsi="Arial" w:cs="Arial"/>
          <w:sz w:val="20"/>
          <w:szCs w:val="20"/>
          <w:lang w:eastAsia="en-US"/>
        </w:rPr>
        <w:t>nákladů spojených s administrací</w:t>
      </w:r>
      <w:r w:rsidRPr="007F3D2B">
        <w:rPr>
          <w:rFonts w:ascii="Arial" w:hAnsi="Arial" w:cs="Arial"/>
          <w:sz w:val="20"/>
          <w:szCs w:val="20"/>
          <w:lang w:eastAsia="en-US"/>
        </w:rPr>
        <w:t xml:space="preserve"> podlimitní </w:t>
      </w:r>
      <w:r w:rsidR="00BA5C4E">
        <w:rPr>
          <w:rFonts w:ascii="Arial" w:hAnsi="Arial" w:cs="Arial"/>
          <w:sz w:val="20"/>
          <w:szCs w:val="20"/>
          <w:lang w:eastAsia="en-US"/>
        </w:rPr>
        <w:t>veřejné zakázky,</w:t>
      </w:r>
      <w:r w:rsidRPr="007F3D2B">
        <w:rPr>
          <w:rFonts w:ascii="Arial" w:hAnsi="Arial" w:cs="Arial"/>
          <w:sz w:val="20"/>
          <w:szCs w:val="20"/>
          <w:lang w:eastAsia="en-US"/>
        </w:rPr>
        <w:t xml:space="preserve"> a to právě z důvodů, že by nebylo nutné vypracovávat velké množství protokolů a možnost podávat námitky a tím i jejich vypořádání by se kumulovalo do jednoho okamžiku.</w:t>
      </w:r>
    </w:p>
    <w:p w:rsidR="00382B02" w:rsidRPr="007F3D2B" w:rsidRDefault="00382B02" w:rsidP="007F3D2B">
      <w:pPr>
        <w:spacing w:before="120" w:line="276" w:lineRule="auto"/>
        <w:jc w:val="both"/>
        <w:rPr>
          <w:rFonts w:ascii="Arial" w:hAnsi="Arial" w:cs="Arial"/>
          <w:b/>
          <w:sz w:val="20"/>
          <w:szCs w:val="20"/>
          <w:lang w:eastAsia="en-US"/>
        </w:rPr>
      </w:pPr>
    </w:p>
    <w:p w:rsidR="00382B02" w:rsidRPr="007F3D2B" w:rsidRDefault="00382B02"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Varianta</w:t>
      </w:r>
      <w:r w:rsidR="00F11E6F" w:rsidRPr="007F3D2B">
        <w:rPr>
          <w:rFonts w:ascii="Arial" w:hAnsi="Arial" w:cs="Arial"/>
          <w:b/>
          <w:sz w:val="20"/>
          <w:szCs w:val="20"/>
          <w:lang w:eastAsia="en-US"/>
        </w:rPr>
        <w:t xml:space="preserve"> </w:t>
      </w:r>
      <w:r w:rsidRPr="007F3D2B">
        <w:rPr>
          <w:rFonts w:ascii="Arial" w:hAnsi="Arial" w:cs="Arial"/>
          <w:b/>
          <w:sz w:val="20"/>
          <w:szCs w:val="20"/>
          <w:lang w:eastAsia="en-US"/>
        </w:rPr>
        <w:t xml:space="preserve">4 </w:t>
      </w:r>
      <w:r w:rsidR="00745435" w:rsidRPr="007F3D2B">
        <w:rPr>
          <w:rFonts w:ascii="Arial" w:hAnsi="Arial" w:cs="Arial"/>
          <w:b/>
          <w:sz w:val="20"/>
          <w:szCs w:val="20"/>
          <w:lang w:eastAsia="en-US"/>
        </w:rPr>
        <w:t>–</w:t>
      </w:r>
      <w:r w:rsidRPr="007F3D2B">
        <w:rPr>
          <w:rFonts w:ascii="Arial" w:hAnsi="Arial" w:cs="Arial"/>
          <w:b/>
          <w:sz w:val="20"/>
          <w:szCs w:val="20"/>
          <w:lang w:eastAsia="en-US"/>
        </w:rPr>
        <w:t xml:space="preserve"> </w:t>
      </w:r>
      <w:r w:rsidR="0013272C" w:rsidRPr="007F3D2B">
        <w:rPr>
          <w:rFonts w:ascii="Arial" w:hAnsi="Arial" w:cs="Arial"/>
          <w:b/>
          <w:sz w:val="20"/>
          <w:szCs w:val="20"/>
          <w:lang w:eastAsia="en-US"/>
        </w:rPr>
        <w:t xml:space="preserve">zachovat zjednodušené podlimitní řízení a </w:t>
      </w:r>
      <w:r w:rsidR="004D03C7" w:rsidRPr="007F3D2B">
        <w:rPr>
          <w:rFonts w:ascii="Arial" w:hAnsi="Arial" w:cs="Arial"/>
          <w:b/>
          <w:sz w:val="20"/>
          <w:szCs w:val="20"/>
          <w:lang w:eastAsia="en-US"/>
        </w:rPr>
        <w:t>umožnit jednání ve zjednodušeném podlimitním řízení</w:t>
      </w:r>
    </w:p>
    <w:p w:rsidR="00F65D79" w:rsidRPr="007F3D2B" w:rsidRDefault="00F65D79" w:rsidP="007F3D2B">
      <w:pPr>
        <w:spacing w:before="120" w:line="276" w:lineRule="auto"/>
        <w:jc w:val="both"/>
        <w:rPr>
          <w:rFonts w:ascii="Arial" w:hAnsi="Arial" w:cs="Arial"/>
          <w:b/>
          <w:sz w:val="20"/>
          <w:szCs w:val="20"/>
          <w:lang w:eastAsia="en-US"/>
        </w:rPr>
      </w:pPr>
    </w:p>
    <w:p w:rsidR="00C7027D" w:rsidRPr="007F3D2B" w:rsidRDefault="00382B0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382B02" w:rsidRPr="007F3D2B" w:rsidRDefault="00442FCC"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Zjednodušené podlimitní řízení by bylo zachováno a z</w:t>
      </w:r>
      <w:r w:rsidR="002159E2" w:rsidRPr="007F3D2B">
        <w:rPr>
          <w:rFonts w:ascii="Arial" w:hAnsi="Arial" w:cs="Arial"/>
          <w:sz w:val="20"/>
          <w:szCs w:val="20"/>
          <w:lang w:eastAsia="en-US"/>
        </w:rPr>
        <w:t>adavatelé by si</w:t>
      </w:r>
      <w:r w:rsidRPr="007F3D2B">
        <w:rPr>
          <w:rFonts w:ascii="Arial" w:hAnsi="Arial" w:cs="Arial"/>
          <w:sz w:val="20"/>
          <w:szCs w:val="20"/>
          <w:lang w:eastAsia="en-US"/>
        </w:rPr>
        <w:t xml:space="preserve"> v něm</w:t>
      </w:r>
      <w:r w:rsidR="002159E2" w:rsidRPr="007F3D2B">
        <w:rPr>
          <w:rFonts w:ascii="Arial" w:hAnsi="Arial" w:cs="Arial"/>
          <w:sz w:val="20"/>
          <w:szCs w:val="20"/>
          <w:lang w:eastAsia="en-US"/>
        </w:rPr>
        <w:t xml:space="preserve"> mohli v zadávací dokumentaci vyhradit, že budou o nabídkách jednat, nešlo by tedy o automatickou možnost, zadavatel by měl volbu dopředu oznámit, zda hodlá o nabídkách po jejich otevření jednat</w:t>
      </w:r>
      <w:r w:rsidR="00255482">
        <w:rPr>
          <w:rFonts w:ascii="Arial" w:hAnsi="Arial" w:cs="Arial"/>
          <w:sz w:val="20"/>
          <w:szCs w:val="20"/>
          <w:lang w:eastAsia="en-US"/>
        </w:rPr>
        <w:t>,</w:t>
      </w:r>
      <w:r w:rsidR="00676F8B" w:rsidRPr="007F3D2B">
        <w:rPr>
          <w:rFonts w:ascii="Arial" w:hAnsi="Arial" w:cs="Arial"/>
          <w:sz w:val="20"/>
          <w:szCs w:val="20"/>
          <w:lang w:eastAsia="en-US"/>
        </w:rPr>
        <w:t xml:space="preserve"> či nikoli</w:t>
      </w:r>
      <w:r w:rsidR="002159E2" w:rsidRPr="007F3D2B">
        <w:rPr>
          <w:rFonts w:ascii="Arial" w:hAnsi="Arial" w:cs="Arial"/>
          <w:sz w:val="20"/>
          <w:szCs w:val="20"/>
          <w:lang w:eastAsia="en-US"/>
        </w:rPr>
        <w:t>.</w:t>
      </w:r>
    </w:p>
    <w:p w:rsidR="002159E2" w:rsidRPr="007F3D2B" w:rsidRDefault="002159E2" w:rsidP="007F3D2B">
      <w:pPr>
        <w:spacing w:before="120" w:line="276" w:lineRule="auto"/>
        <w:jc w:val="both"/>
        <w:rPr>
          <w:rFonts w:ascii="Arial" w:hAnsi="Arial" w:cs="Arial"/>
          <w:sz w:val="20"/>
          <w:szCs w:val="20"/>
          <w:lang w:eastAsia="en-US"/>
        </w:rPr>
      </w:pPr>
    </w:p>
    <w:p w:rsidR="00382B02" w:rsidRPr="007F3D2B" w:rsidRDefault="00382B0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9A31A6" w:rsidRPr="007F3D2B">
        <w:rPr>
          <w:rFonts w:ascii="Arial" w:hAnsi="Arial" w:cs="Arial"/>
          <w:sz w:val="20"/>
          <w:szCs w:val="20"/>
          <w:lang w:eastAsia="en-US"/>
        </w:rPr>
        <w:t xml:space="preserve"> a </w:t>
      </w:r>
      <w:r w:rsidR="00C174CD" w:rsidRPr="007F3D2B">
        <w:rPr>
          <w:rFonts w:ascii="Arial" w:hAnsi="Arial" w:cs="Arial"/>
          <w:sz w:val="20"/>
          <w:szCs w:val="20"/>
          <w:lang w:eastAsia="en-US"/>
        </w:rPr>
        <w:t>přínosy</w:t>
      </w:r>
      <w:r w:rsidRPr="007F3D2B">
        <w:rPr>
          <w:rFonts w:ascii="Arial" w:hAnsi="Arial" w:cs="Arial"/>
          <w:sz w:val="20"/>
          <w:szCs w:val="20"/>
          <w:lang w:eastAsia="en-US"/>
        </w:rPr>
        <w:t>:</w:t>
      </w:r>
    </w:p>
    <w:p w:rsidR="00382B02" w:rsidRPr="007F3D2B" w:rsidRDefault="002159E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S ohledem na možnost volby zadavatel</w:t>
      </w:r>
      <w:r w:rsidR="00745435" w:rsidRPr="007F3D2B">
        <w:rPr>
          <w:rFonts w:ascii="Arial" w:hAnsi="Arial" w:cs="Arial"/>
          <w:sz w:val="20"/>
          <w:szCs w:val="20"/>
          <w:lang w:eastAsia="en-US"/>
        </w:rPr>
        <w:t>e</w:t>
      </w:r>
      <w:r w:rsidRPr="007F3D2B">
        <w:rPr>
          <w:rFonts w:ascii="Arial" w:hAnsi="Arial" w:cs="Arial"/>
          <w:sz w:val="20"/>
          <w:szCs w:val="20"/>
          <w:lang w:eastAsia="en-US"/>
        </w:rPr>
        <w:t xml:space="preserve"> minimální, v případě jednání musí být zadavatel dostatečně odborně </w:t>
      </w:r>
      <w:r w:rsidR="006F2129" w:rsidRPr="007F3D2B">
        <w:rPr>
          <w:rFonts w:ascii="Arial" w:hAnsi="Arial" w:cs="Arial"/>
          <w:sz w:val="20"/>
          <w:szCs w:val="20"/>
          <w:lang w:eastAsia="en-US"/>
        </w:rPr>
        <w:t>vybavený.</w:t>
      </w:r>
    </w:p>
    <w:p w:rsidR="00676F8B" w:rsidRPr="007F3D2B" w:rsidRDefault="009A31A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Prvek jednání by dále </w:t>
      </w:r>
      <w:r w:rsidR="001B3CBE" w:rsidRPr="007F3D2B">
        <w:rPr>
          <w:rFonts w:ascii="Arial" w:hAnsi="Arial" w:cs="Arial"/>
          <w:sz w:val="20"/>
          <w:szCs w:val="20"/>
          <w:lang w:eastAsia="en-US"/>
        </w:rPr>
        <w:t>vedl k</w:t>
      </w:r>
      <w:r w:rsidRPr="007F3D2B">
        <w:rPr>
          <w:rFonts w:ascii="Arial" w:hAnsi="Arial" w:cs="Arial"/>
          <w:sz w:val="20"/>
          <w:szCs w:val="20"/>
          <w:lang w:eastAsia="en-US"/>
        </w:rPr>
        <w:t xml:space="preserve"> </w:t>
      </w:r>
      <w:r w:rsidR="001B3CBE" w:rsidRPr="007F3D2B">
        <w:rPr>
          <w:rFonts w:ascii="Arial" w:hAnsi="Arial" w:cs="Arial"/>
          <w:sz w:val="20"/>
          <w:szCs w:val="20"/>
          <w:lang w:eastAsia="en-US"/>
        </w:rPr>
        <w:t>flexibilnímu</w:t>
      </w:r>
      <w:r w:rsidRPr="007F3D2B">
        <w:rPr>
          <w:rFonts w:ascii="Arial" w:hAnsi="Arial" w:cs="Arial"/>
          <w:sz w:val="20"/>
          <w:szCs w:val="20"/>
          <w:lang w:eastAsia="en-US"/>
        </w:rPr>
        <w:t xml:space="preserve"> </w:t>
      </w:r>
      <w:r w:rsidR="001B3CBE" w:rsidRPr="007F3D2B">
        <w:rPr>
          <w:rFonts w:ascii="Arial" w:hAnsi="Arial" w:cs="Arial"/>
          <w:sz w:val="20"/>
          <w:szCs w:val="20"/>
          <w:lang w:eastAsia="en-US"/>
        </w:rPr>
        <w:t>a hospodárnému</w:t>
      </w:r>
      <w:r w:rsidRPr="007F3D2B">
        <w:rPr>
          <w:rFonts w:ascii="Arial" w:hAnsi="Arial" w:cs="Arial"/>
          <w:sz w:val="20"/>
          <w:szCs w:val="20"/>
          <w:lang w:eastAsia="en-US"/>
        </w:rPr>
        <w:t xml:space="preserve"> jednání zadavatele, jelikož by v rámci jednání bylo možno odstranit řadu chyb v nabídkách, které by za situace, kdy by jednání nebylo umožněno</w:t>
      </w:r>
      <w:r w:rsidR="001B3CBE" w:rsidRPr="007F3D2B">
        <w:rPr>
          <w:rFonts w:ascii="Arial" w:hAnsi="Arial" w:cs="Arial"/>
          <w:sz w:val="20"/>
          <w:szCs w:val="20"/>
          <w:lang w:eastAsia="en-US"/>
        </w:rPr>
        <w:t>,</w:t>
      </w:r>
      <w:r w:rsidRPr="007F3D2B">
        <w:rPr>
          <w:rFonts w:ascii="Arial" w:hAnsi="Arial" w:cs="Arial"/>
          <w:sz w:val="20"/>
          <w:szCs w:val="20"/>
          <w:lang w:eastAsia="en-US"/>
        </w:rPr>
        <w:t xml:space="preserve"> vedly k vyřazení nabídky a vyloučení uchazeče. </w:t>
      </w:r>
      <w:r w:rsidR="00676F8B" w:rsidRPr="007F3D2B">
        <w:rPr>
          <w:rFonts w:ascii="Arial" w:hAnsi="Arial" w:cs="Arial"/>
          <w:sz w:val="20"/>
          <w:szCs w:val="20"/>
          <w:lang w:eastAsia="en-US"/>
        </w:rPr>
        <w:t xml:space="preserve">Zároveň je jednání o nabídkách nástrojem, který umožňuje získání ekonomicky výhodnější nabídky pro zadavatele. </w:t>
      </w:r>
    </w:p>
    <w:p w:rsidR="00F43B0D" w:rsidRPr="007F3D2B" w:rsidRDefault="00F43B0D"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Bylo by nutné nastavit prav</w:t>
      </w:r>
      <w:r w:rsidR="00BA5C4E">
        <w:rPr>
          <w:rFonts w:ascii="Arial" w:hAnsi="Arial" w:cs="Arial"/>
          <w:sz w:val="20"/>
          <w:szCs w:val="20"/>
          <w:lang w:eastAsia="en-US"/>
        </w:rPr>
        <w:t>idla jednání v ZPŘ –</w:t>
      </w:r>
      <w:r w:rsidRPr="007F3D2B">
        <w:rPr>
          <w:rFonts w:ascii="Arial" w:hAnsi="Arial" w:cs="Arial"/>
          <w:sz w:val="20"/>
          <w:szCs w:val="20"/>
          <w:lang w:eastAsia="en-US"/>
        </w:rPr>
        <w:t xml:space="preserve"> vzhledem ke skutečnosti, že zákon již obsahuje, a do budoucna bude obsahovat, pravidla pro postup v jednacím řízení s</w:t>
      </w:r>
      <w:r w:rsidR="00DC34C0" w:rsidRPr="007F3D2B">
        <w:rPr>
          <w:rFonts w:ascii="Arial" w:hAnsi="Arial" w:cs="Arial"/>
          <w:sz w:val="20"/>
          <w:szCs w:val="20"/>
          <w:lang w:eastAsia="en-US"/>
        </w:rPr>
        <w:t> </w:t>
      </w:r>
      <w:r w:rsidRPr="007F3D2B">
        <w:rPr>
          <w:rFonts w:ascii="Arial" w:hAnsi="Arial" w:cs="Arial"/>
          <w:sz w:val="20"/>
          <w:szCs w:val="20"/>
          <w:lang w:eastAsia="en-US"/>
        </w:rPr>
        <w:t>uveřejnění</w:t>
      </w:r>
      <w:r w:rsidR="00BA5C4E">
        <w:rPr>
          <w:rFonts w:ascii="Arial" w:hAnsi="Arial" w:cs="Arial"/>
          <w:sz w:val="20"/>
          <w:szCs w:val="20"/>
          <w:lang w:eastAsia="en-US"/>
        </w:rPr>
        <w:t>m</w:t>
      </w:r>
      <w:r w:rsidR="00DC34C0" w:rsidRPr="007F3D2B">
        <w:rPr>
          <w:rFonts w:ascii="Arial" w:hAnsi="Arial" w:cs="Arial"/>
          <w:sz w:val="20"/>
          <w:szCs w:val="20"/>
          <w:lang w:eastAsia="en-US"/>
        </w:rPr>
        <w:t>, které jednání o nabídkách umožňuje, mohlo by zavedení prvku jednání v ZPŘ vést k nepřehlednosti právní úpravy.</w:t>
      </w:r>
    </w:p>
    <w:p w:rsidR="002159E2" w:rsidRPr="007F3D2B" w:rsidRDefault="002159E2" w:rsidP="007F3D2B">
      <w:pPr>
        <w:spacing w:before="120" w:line="276" w:lineRule="auto"/>
        <w:jc w:val="both"/>
        <w:rPr>
          <w:rFonts w:ascii="Arial" w:hAnsi="Arial" w:cs="Arial"/>
          <w:sz w:val="20"/>
          <w:szCs w:val="20"/>
          <w:lang w:eastAsia="en-US"/>
        </w:rPr>
      </w:pPr>
    </w:p>
    <w:p w:rsidR="00382B02" w:rsidRPr="007F3D2B" w:rsidRDefault="00382B0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lastRenderedPageBreak/>
        <w:t>Závěr:</w:t>
      </w:r>
    </w:p>
    <w:p w:rsidR="00F81B43" w:rsidRPr="007F3D2B" w:rsidRDefault="00BA5C4E" w:rsidP="007F3D2B">
      <w:pPr>
        <w:spacing w:before="120" w:line="276" w:lineRule="auto"/>
        <w:jc w:val="both"/>
        <w:rPr>
          <w:rFonts w:ascii="Arial" w:hAnsi="Arial" w:cs="Arial"/>
          <w:sz w:val="20"/>
          <w:szCs w:val="20"/>
          <w:lang w:eastAsia="en-US"/>
        </w:rPr>
      </w:pPr>
      <w:r>
        <w:rPr>
          <w:rFonts w:ascii="Arial" w:hAnsi="Arial" w:cs="Arial"/>
          <w:sz w:val="20"/>
          <w:szCs w:val="20"/>
          <w:lang w:eastAsia="en-US"/>
        </w:rPr>
        <w:t>Doporučuje se</w:t>
      </w:r>
      <w:r w:rsidR="00F81B43" w:rsidRPr="007F3D2B">
        <w:rPr>
          <w:rFonts w:ascii="Arial" w:hAnsi="Arial" w:cs="Arial"/>
          <w:sz w:val="20"/>
          <w:szCs w:val="20"/>
          <w:lang w:eastAsia="en-US"/>
        </w:rPr>
        <w:t xml:space="preserve"> přijetí Varianty 3</w:t>
      </w:r>
      <w:r>
        <w:rPr>
          <w:rFonts w:ascii="Arial" w:hAnsi="Arial" w:cs="Arial"/>
          <w:sz w:val="20"/>
          <w:szCs w:val="20"/>
          <w:lang w:eastAsia="en-US"/>
        </w:rPr>
        <w:t>,</w:t>
      </w:r>
      <w:r w:rsidR="00F81B43" w:rsidRPr="007F3D2B">
        <w:rPr>
          <w:rFonts w:ascii="Arial" w:hAnsi="Arial" w:cs="Arial"/>
          <w:sz w:val="20"/>
          <w:szCs w:val="20"/>
          <w:lang w:eastAsia="en-US"/>
        </w:rPr>
        <w:t xml:space="preserve"> tedy zachování zjednodušeného podlimitního řízení v současné podobě a u ostatních řízení zjednodušit procesní pravidla, zejména lhůty a systém prokazování kvalifikace a zároveň</w:t>
      </w:r>
      <w:r w:rsidR="0013272C" w:rsidRPr="007F3D2B">
        <w:rPr>
          <w:rFonts w:ascii="Arial" w:hAnsi="Arial" w:cs="Arial"/>
          <w:sz w:val="20"/>
          <w:szCs w:val="20"/>
          <w:lang w:eastAsia="en-US"/>
        </w:rPr>
        <w:t xml:space="preserve"> umožnit zadat podlimitní veřejnou zakázku v jednacím řízení s uveřejněním, bez splnění dalších podmínek</w:t>
      </w:r>
      <w:r w:rsidR="00F81B43" w:rsidRPr="007F3D2B">
        <w:rPr>
          <w:rFonts w:ascii="Arial" w:hAnsi="Arial" w:cs="Arial"/>
          <w:sz w:val="20"/>
          <w:szCs w:val="20"/>
          <w:lang w:eastAsia="en-US"/>
        </w:rPr>
        <w:t xml:space="preserve">. </w:t>
      </w:r>
      <w:r w:rsidR="0013272C" w:rsidRPr="007F3D2B">
        <w:rPr>
          <w:rFonts w:ascii="Arial" w:hAnsi="Arial" w:cs="Arial"/>
          <w:sz w:val="20"/>
          <w:szCs w:val="20"/>
          <w:lang w:eastAsia="en-US"/>
        </w:rPr>
        <w:t>D</w:t>
      </w:r>
      <w:r w:rsidR="00F81B43" w:rsidRPr="007F3D2B">
        <w:rPr>
          <w:rFonts w:ascii="Arial" w:hAnsi="Arial" w:cs="Arial"/>
          <w:sz w:val="20"/>
          <w:szCs w:val="20"/>
          <w:lang w:eastAsia="en-US"/>
        </w:rPr>
        <w:t>le předkladatele</w:t>
      </w:r>
      <w:r w:rsidR="0013272C" w:rsidRPr="007F3D2B">
        <w:rPr>
          <w:rFonts w:ascii="Arial" w:hAnsi="Arial" w:cs="Arial"/>
          <w:sz w:val="20"/>
          <w:szCs w:val="20"/>
          <w:lang w:eastAsia="en-US"/>
        </w:rPr>
        <w:t xml:space="preserve"> tak bude</w:t>
      </w:r>
      <w:r w:rsidR="00F81B43" w:rsidRPr="007F3D2B">
        <w:rPr>
          <w:rFonts w:ascii="Arial" w:hAnsi="Arial" w:cs="Arial"/>
          <w:sz w:val="20"/>
          <w:szCs w:val="20"/>
          <w:lang w:eastAsia="en-US"/>
        </w:rPr>
        <w:t xml:space="preserve"> dosaženo stavu, kdy bude zjednodušené podlimitní řízení skutečně jednoduchým a flexibilním řízení</w:t>
      </w:r>
      <w:r>
        <w:rPr>
          <w:rFonts w:ascii="Arial" w:hAnsi="Arial" w:cs="Arial"/>
          <w:sz w:val="20"/>
          <w:szCs w:val="20"/>
          <w:lang w:eastAsia="en-US"/>
        </w:rPr>
        <w:t>m</w:t>
      </w:r>
      <w:r w:rsidR="00F81B43" w:rsidRPr="007F3D2B">
        <w:rPr>
          <w:rFonts w:ascii="Arial" w:hAnsi="Arial" w:cs="Arial"/>
          <w:sz w:val="20"/>
          <w:szCs w:val="20"/>
          <w:lang w:eastAsia="en-US"/>
        </w:rPr>
        <w:t xml:space="preserve">, které bude zachovávat zásady transparentnosti, rovného zacházení a nediskriminace, bude přiměřené předpokládané hodnotě veřejné zakázky a zároveň bude </w:t>
      </w:r>
      <w:r w:rsidR="0013272C" w:rsidRPr="007F3D2B">
        <w:rPr>
          <w:rFonts w:ascii="Arial" w:hAnsi="Arial" w:cs="Arial"/>
          <w:sz w:val="20"/>
          <w:szCs w:val="20"/>
          <w:lang w:eastAsia="en-US"/>
        </w:rPr>
        <w:t xml:space="preserve">zadavateli umožněno vybrat si pro zadání podlimitní zakázky řízení, které umožňuje jednání a tím může být </w:t>
      </w:r>
      <w:r w:rsidR="00F81B43" w:rsidRPr="007F3D2B">
        <w:rPr>
          <w:rFonts w:ascii="Arial" w:hAnsi="Arial" w:cs="Arial"/>
          <w:sz w:val="20"/>
          <w:szCs w:val="20"/>
          <w:lang w:eastAsia="en-US"/>
        </w:rPr>
        <w:t xml:space="preserve">nástrojem pro získání ekonomicky výhodné nabídky. </w:t>
      </w:r>
    </w:p>
    <w:p w:rsidR="006F2129" w:rsidRDefault="006F2129" w:rsidP="007F3D2B">
      <w:pPr>
        <w:spacing w:before="120" w:line="276" w:lineRule="auto"/>
        <w:jc w:val="both"/>
        <w:rPr>
          <w:rFonts w:ascii="Arial" w:hAnsi="Arial" w:cs="Arial"/>
          <w:sz w:val="20"/>
          <w:szCs w:val="20"/>
          <w:lang w:eastAsia="en-US"/>
        </w:rPr>
      </w:pPr>
    </w:p>
    <w:p w:rsidR="0087442C" w:rsidRPr="007F3D2B" w:rsidRDefault="0087442C" w:rsidP="007F3D2B">
      <w:pPr>
        <w:spacing w:before="120" w:line="276" w:lineRule="auto"/>
        <w:jc w:val="both"/>
        <w:rPr>
          <w:rFonts w:ascii="Arial" w:hAnsi="Arial" w:cs="Arial"/>
          <w:sz w:val="20"/>
          <w:szCs w:val="20"/>
          <w:lang w:eastAsia="en-US"/>
        </w:rPr>
      </w:pPr>
    </w:p>
    <w:p w:rsidR="00382B02" w:rsidRPr="007F3D2B" w:rsidRDefault="007F6D85"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E</w:t>
      </w:r>
      <w:r w:rsidR="0056431E" w:rsidRPr="007F3D2B">
        <w:rPr>
          <w:rFonts w:ascii="Arial" w:hAnsi="Arial" w:cs="Arial"/>
          <w:b/>
          <w:sz w:val="20"/>
          <w:szCs w:val="20"/>
          <w:lang w:eastAsia="en-US"/>
        </w:rPr>
        <w:t>.</w:t>
      </w:r>
      <w:r w:rsidRPr="007F3D2B">
        <w:rPr>
          <w:rFonts w:ascii="Arial" w:hAnsi="Arial" w:cs="Arial"/>
          <w:b/>
          <w:sz w:val="20"/>
          <w:szCs w:val="20"/>
          <w:lang w:eastAsia="en-US"/>
        </w:rPr>
        <w:t xml:space="preserve"> </w:t>
      </w:r>
      <w:r w:rsidR="004D03C7" w:rsidRPr="007F3D2B">
        <w:rPr>
          <w:rFonts w:ascii="Arial" w:hAnsi="Arial" w:cs="Arial"/>
          <w:b/>
          <w:sz w:val="20"/>
          <w:szCs w:val="20"/>
          <w:lang w:eastAsia="en-US"/>
        </w:rPr>
        <w:t>Omezování počtu zájemců</w:t>
      </w:r>
      <w:r w:rsidR="00382B02" w:rsidRPr="007F3D2B">
        <w:rPr>
          <w:rFonts w:ascii="Arial" w:hAnsi="Arial" w:cs="Arial"/>
          <w:b/>
          <w:sz w:val="20"/>
          <w:szCs w:val="20"/>
          <w:lang w:eastAsia="en-US"/>
        </w:rPr>
        <w:t xml:space="preserve"> v užším řízení</w:t>
      </w:r>
      <w:r w:rsidR="0082409C" w:rsidRPr="007F3D2B">
        <w:rPr>
          <w:rFonts w:ascii="Arial" w:hAnsi="Arial" w:cs="Arial"/>
          <w:b/>
          <w:sz w:val="20"/>
          <w:szCs w:val="20"/>
          <w:lang w:eastAsia="en-US"/>
        </w:rPr>
        <w:t xml:space="preserve"> a jednacím řízení bez uveřejnění</w:t>
      </w:r>
    </w:p>
    <w:p w:rsidR="00382B02" w:rsidRPr="007F3D2B" w:rsidRDefault="00382B02" w:rsidP="007F3D2B">
      <w:pPr>
        <w:spacing w:before="120" w:line="276" w:lineRule="auto"/>
        <w:jc w:val="both"/>
        <w:rPr>
          <w:rFonts w:ascii="Arial" w:hAnsi="Arial" w:cs="Arial"/>
          <w:b/>
          <w:sz w:val="20"/>
          <w:szCs w:val="20"/>
          <w:lang w:eastAsia="en-US"/>
        </w:rPr>
      </w:pPr>
    </w:p>
    <w:p w:rsidR="00382B02" w:rsidRPr="007F3D2B" w:rsidRDefault="00382B02"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Varianta 1 – nulová varianta</w:t>
      </w:r>
    </w:p>
    <w:p w:rsidR="00382B02" w:rsidRPr="007F3D2B" w:rsidRDefault="00382B02" w:rsidP="007F3D2B">
      <w:pPr>
        <w:spacing w:before="120" w:line="276" w:lineRule="auto"/>
        <w:jc w:val="both"/>
        <w:rPr>
          <w:rFonts w:ascii="Arial" w:hAnsi="Arial" w:cs="Arial"/>
          <w:sz w:val="20"/>
          <w:szCs w:val="20"/>
          <w:lang w:eastAsia="en-US"/>
        </w:rPr>
      </w:pPr>
    </w:p>
    <w:p w:rsidR="00382B02" w:rsidRPr="007F3D2B" w:rsidRDefault="00382B0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382B02" w:rsidRPr="007F3D2B" w:rsidRDefault="00382B0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Zachování současného stavu upraveného dle stávající právní úpravy, tedy ponechat zákaz omezování.</w:t>
      </w:r>
      <w:r w:rsidR="003D323B" w:rsidRPr="007F3D2B">
        <w:rPr>
          <w:rFonts w:ascii="Arial" w:hAnsi="Arial" w:cs="Arial"/>
          <w:sz w:val="20"/>
          <w:szCs w:val="20"/>
          <w:lang w:eastAsia="en-US"/>
        </w:rPr>
        <w:t xml:space="preserve"> </w:t>
      </w:r>
      <w:r w:rsidR="00F96E40" w:rsidRPr="007F3D2B">
        <w:rPr>
          <w:rFonts w:ascii="Arial" w:hAnsi="Arial" w:cs="Arial"/>
          <w:sz w:val="20"/>
          <w:szCs w:val="20"/>
          <w:lang w:eastAsia="en-US"/>
        </w:rPr>
        <w:t>Zákaz možnosti o</w:t>
      </w:r>
      <w:r w:rsidR="00BA5C4E">
        <w:rPr>
          <w:rFonts w:ascii="Arial" w:hAnsi="Arial" w:cs="Arial"/>
          <w:sz w:val="20"/>
          <w:szCs w:val="20"/>
          <w:lang w:eastAsia="en-US"/>
        </w:rPr>
        <w:t>mezovat počty</w:t>
      </w:r>
      <w:r w:rsidR="00F96E40" w:rsidRPr="007F3D2B">
        <w:rPr>
          <w:rFonts w:ascii="Arial" w:hAnsi="Arial" w:cs="Arial"/>
          <w:sz w:val="20"/>
          <w:szCs w:val="20"/>
          <w:lang w:eastAsia="en-US"/>
        </w:rPr>
        <w:t xml:space="preserve"> zájemců byl zaveden do ZVZ novelou č. 55/2012 Sb., tzv. transparentní novelou.</w:t>
      </w:r>
    </w:p>
    <w:p w:rsidR="00382B02" w:rsidRPr="007F3D2B" w:rsidRDefault="00382B02" w:rsidP="007F3D2B">
      <w:pPr>
        <w:spacing w:before="120" w:line="276" w:lineRule="auto"/>
        <w:jc w:val="both"/>
        <w:rPr>
          <w:rFonts w:ascii="Arial" w:hAnsi="Arial" w:cs="Arial"/>
          <w:sz w:val="20"/>
          <w:szCs w:val="20"/>
          <w:lang w:eastAsia="en-US"/>
        </w:rPr>
      </w:pPr>
    </w:p>
    <w:p w:rsidR="00382B02" w:rsidRPr="007F3D2B" w:rsidRDefault="00382B0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F96E40" w:rsidRPr="007F3D2B">
        <w:rPr>
          <w:rFonts w:ascii="Arial" w:hAnsi="Arial" w:cs="Arial"/>
          <w:sz w:val="20"/>
          <w:szCs w:val="20"/>
          <w:lang w:eastAsia="en-US"/>
        </w:rPr>
        <w:t xml:space="preserve"> a přínosy</w:t>
      </w:r>
      <w:r w:rsidRPr="007F3D2B">
        <w:rPr>
          <w:rFonts w:ascii="Arial" w:hAnsi="Arial" w:cs="Arial"/>
          <w:sz w:val="20"/>
          <w:szCs w:val="20"/>
          <w:lang w:eastAsia="en-US"/>
        </w:rPr>
        <w:t>:</w:t>
      </w:r>
    </w:p>
    <w:p w:rsidR="00785E2E" w:rsidRPr="007F3D2B" w:rsidRDefault="00785E2E"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Účelem omezování počtu zájemců je umožnit zadavateli flexibilnější a rychlejší výběr v situacích, kdy je zájemců velké množství a posuzování a hodnocení všech nabídek by bylo administrativně náročné. Také je nutno podotknout, že vypracování nabídky na straně dodavatele je často nákladné a v případě omezení počtu zájemců tak náklady na přípravu nabídky ponese menší množství dodavatelů. Bude-li tedy zachována současná úprava, nebude využito výše zmíněných výhod omezování počtu zájemců. </w:t>
      </w:r>
      <w:r w:rsidR="00F96E40" w:rsidRPr="007F3D2B">
        <w:rPr>
          <w:rFonts w:ascii="Arial" w:hAnsi="Arial" w:cs="Arial"/>
          <w:sz w:val="20"/>
          <w:szCs w:val="20"/>
          <w:lang w:eastAsia="en-US"/>
        </w:rPr>
        <w:t>Přínosem je pak prevence korupčního jednání spočívajícího v ovlivňování výběru zájemců, kteří budou vyzváni k podání nabídky.</w:t>
      </w:r>
    </w:p>
    <w:p w:rsidR="00785E2E" w:rsidRPr="007F3D2B" w:rsidRDefault="00785E2E" w:rsidP="007F3D2B">
      <w:pPr>
        <w:spacing w:before="120" w:line="276" w:lineRule="auto"/>
        <w:jc w:val="both"/>
        <w:rPr>
          <w:rFonts w:ascii="Arial" w:hAnsi="Arial" w:cs="Arial"/>
          <w:b/>
          <w:sz w:val="20"/>
          <w:szCs w:val="20"/>
          <w:lang w:eastAsia="en-US"/>
        </w:rPr>
      </w:pPr>
    </w:p>
    <w:p w:rsidR="00382B02" w:rsidRPr="007F3D2B" w:rsidRDefault="001D42B9"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Varianta 2 – povolení omezování zájemců v užším řízení</w:t>
      </w:r>
      <w:r w:rsidR="0082409C" w:rsidRPr="007F3D2B">
        <w:rPr>
          <w:rFonts w:ascii="Arial" w:hAnsi="Arial" w:cs="Arial"/>
          <w:b/>
          <w:sz w:val="20"/>
          <w:szCs w:val="20"/>
          <w:lang w:eastAsia="en-US"/>
        </w:rPr>
        <w:t xml:space="preserve"> a jednacím řízení bez uveřejnění</w:t>
      </w:r>
    </w:p>
    <w:p w:rsidR="001D42B9" w:rsidRPr="007F3D2B" w:rsidRDefault="001D42B9" w:rsidP="007F3D2B">
      <w:pPr>
        <w:spacing w:before="120" w:line="276" w:lineRule="auto"/>
        <w:jc w:val="both"/>
        <w:rPr>
          <w:rFonts w:ascii="Arial" w:hAnsi="Arial" w:cs="Arial"/>
          <w:sz w:val="20"/>
          <w:szCs w:val="20"/>
          <w:lang w:eastAsia="en-US"/>
        </w:rPr>
      </w:pPr>
    </w:p>
    <w:p w:rsidR="001D42B9" w:rsidRPr="007F3D2B" w:rsidRDefault="001D42B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Podvarianta a) – </w:t>
      </w:r>
      <w:r w:rsidR="00711C5D" w:rsidRPr="007F3D2B">
        <w:rPr>
          <w:rFonts w:ascii="Arial" w:hAnsi="Arial" w:cs="Arial"/>
          <w:sz w:val="20"/>
          <w:szCs w:val="20"/>
          <w:lang w:eastAsia="en-US"/>
        </w:rPr>
        <w:t>kritérium vyšší kvalifikace</w:t>
      </w:r>
    </w:p>
    <w:p w:rsidR="001D42B9" w:rsidRPr="007F3D2B" w:rsidRDefault="001D42B9" w:rsidP="007F3D2B">
      <w:pPr>
        <w:spacing w:before="120" w:line="276" w:lineRule="auto"/>
        <w:jc w:val="both"/>
        <w:rPr>
          <w:rFonts w:ascii="Arial" w:hAnsi="Arial" w:cs="Arial"/>
          <w:sz w:val="20"/>
          <w:szCs w:val="20"/>
          <w:lang w:eastAsia="en-US"/>
        </w:rPr>
      </w:pPr>
    </w:p>
    <w:p w:rsidR="001D42B9" w:rsidRPr="007F3D2B" w:rsidRDefault="004D03C7"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r w:rsidR="001D42B9" w:rsidRPr="007F3D2B">
        <w:rPr>
          <w:rFonts w:ascii="Arial" w:hAnsi="Arial" w:cs="Arial"/>
          <w:sz w:val="20"/>
          <w:szCs w:val="20"/>
          <w:lang w:eastAsia="en-US"/>
        </w:rPr>
        <w:t>:</w:t>
      </w:r>
    </w:p>
    <w:p w:rsidR="001D42B9" w:rsidRPr="007F3D2B" w:rsidRDefault="00711C5D"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Omezování pouze na základě kritéria vyšší kvalifikace</w:t>
      </w:r>
      <w:r w:rsidR="008749B1" w:rsidRPr="007F3D2B">
        <w:rPr>
          <w:rFonts w:ascii="Arial" w:hAnsi="Arial" w:cs="Arial"/>
          <w:sz w:val="20"/>
          <w:szCs w:val="20"/>
          <w:lang w:eastAsia="en-US"/>
        </w:rPr>
        <w:t>.</w:t>
      </w:r>
      <w:r w:rsidR="00311153" w:rsidRPr="007F3D2B">
        <w:rPr>
          <w:rFonts w:ascii="Arial" w:hAnsi="Arial" w:cs="Arial"/>
          <w:sz w:val="20"/>
          <w:szCs w:val="20"/>
          <w:lang w:eastAsia="en-US"/>
        </w:rPr>
        <w:t xml:space="preserve"> </w:t>
      </w:r>
      <w:r w:rsidR="008749B1" w:rsidRPr="007F3D2B">
        <w:rPr>
          <w:rFonts w:ascii="Arial" w:hAnsi="Arial" w:cs="Arial"/>
          <w:sz w:val="20"/>
          <w:szCs w:val="20"/>
          <w:lang w:eastAsia="en-US"/>
        </w:rPr>
        <w:t xml:space="preserve">Zavedení této možnosti omezování umožní zadavateli již předem vybrat dodavatele s lepší kvalifikací a vybírat tedy vítěznou nabídku mezi nabídkami nejlepších dodavatelů. </w:t>
      </w:r>
    </w:p>
    <w:p w:rsidR="00711C5D" w:rsidRPr="007F3D2B" w:rsidRDefault="00711C5D" w:rsidP="007F3D2B">
      <w:pPr>
        <w:spacing w:before="120" w:line="276" w:lineRule="auto"/>
        <w:jc w:val="both"/>
        <w:rPr>
          <w:rFonts w:ascii="Arial" w:hAnsi="Arial" w:cs="Arial"/>
          <w:sz w:val="20"/>
          <w:szCs w:val="20"/>
          <w:lang w:eastAsia="en-US"/>
        </w:rPr>
      </w:pPr>
    </w:p>
    <w:p w:rsidR="001D42B9" w:rsidRPr="007F3D2B" w:rsidRDefault="001D42B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16481B" w:rsidRPr="007F3D2B">
        <w:rPr>
          <w:rFonts w:ascii="Arial" w:hAnsi="Arial" w:cs="Arial"/>
          <w:sz w:val="20"/>
          <w:szCs w:val="20"/>
          <w:lang w:eastAsia="en-US"/>
        </w:rPr>
        <w:t xml:space="preserve"> a přínosy</w:t>
      </w:r>
      <w:r w:rsidRPr="007F3D2B">
        <w:rPr>
          <w:rFonts w:ascii="Arial" w:hAnsi="Arial" w:cs="Arial"/>
          <w:sz w:val="20"/>
          <w:szCs w:val="20"/>
          <w:lang w:eastAsia="en-US"/>
        </w:rPr>
        <w:t>:</w:t>
      </w:r>
    </w:p>
    <w:p w:rsidR="001D42B9" w:rsidRPr="007F3D2B" w:rsidRDefault="008749B1"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Tento způsob omezování může částečně zabránit v získání veřejné zakázky méně kvalifikovaným dodavatelům. Směrnice však tento způsob omezovaní nezakazují, nelze tedy hovořit o nepřiměřeném postupu, který by byl v rozporu se zásadami.</w:t>
      </w:r>
      <w:r w:rsidR="0016481B" w:rsidRPr="007F3D2B">
        <w:rPr>
          <w:rFonts w:ascii="Arial" w:hAnsi="Arial" w:cs="Arial"/>
          <w:sz w:val="20"/>
          <w:szCs w:val="20"/>
          <w:lang w:eastAsia="en-US"/>
        </w:rPr>
        <w:t xml:space="preserve"> Umožní zadavateli vybírat mezi nabídkami těch nejlepších dodavatelů.</w:t>
      </w:r>
    </w:p>
    <w:p w:rsidR="001D42B9" w:rsidRPr="007F3D2B" w:rsidRDefault="001D42B9" w:rsidP="007F3D2B">
      <w:pPr>
        <w:spacing w:before="120" w:line="276" w:lineRule="auto"/>
        <w:jc w:val="both"/>
        <w:rPr>
          <w:rFonts w:ascii="Arial" w:hAnsi="Arial" w:cs="Arial"/>
          <w:b/>
          <w:sz w:val="20"/>
          <w:szCs w:val="20"/>
          <w:lang w:eastAsia="en-US"/>
        </w:rPr>
      </w:pPr>
    </w:p>
    <w:p w:rsidR="00F11E6F" w:rsidRPr="007F3D2B" w:rsidRDefault="0082409C"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Podvarianta b</w:t>
      </w:r>
      <w:r w:rsidR="001D42B9" w:rsidRPr="007F3D2B">
        <w:rPr>
          <w:rFonts w:ascii="Arial" w:hAnsi="Arial" w:cs="Arial"/>
          <w:sz w:val="20"/>
          <w:szCs w:val="20"/>
          <w:lang w:eastAsia="en-US"/>
        </w:rPr>
        <w:t xml:space="preserve">) – </w:t>
      </w:r>
      <w:r w:rsidR="00711C5D" w:rsidRPr="007F3D2B">
        <w:rPr>
          <w:rFonts w:ascii="Arial" w:hAnsi="Arial" w:cs="Arial"/>
          <w:sz w:val="20"/>
          <w:szCs w:val="20"/>
          <w:lang w:eastAsia="en-US"/>
        </w:rPr>
        <w:t>losování se státní garancí</w:t>
      </w:r>
    </w:p>
    <w:p w:rsidR="007908F7" w:rsidRPr="007F3D2B" w:rsidRDefault="001D42B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1D42B9" w:rsidRPr="007F3D2B" w:rsidRDefault="00A2009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O</w:t>
      </w:r>
      <w:r w:rsidR="00711C5D" w:rsidRPr="007F3D2B">
        <w:rPr>
          <w:rFonts w:ascii="Arial" w:hAnsi="Arial" w:cs="Arial"/>
          <w:sz w:val="20"/>
          <w:szCs w:val="20"/>
          <w:lang w:eastAsia="en-US"/>
        </w:rPr>
        <w:t>mezování losováním se státní garancí</w:t>
      </w:r>
      <w:r w:rsidRPr="007F3D2B">
        <w:rPr>
          <w:rFonts w:ascii="Arial" w:hAnsi="Arial" w:cs="Arial"/>
          <w:sz w:val="20"/>
          <w:szCs w:val="20"/>
          <w:lang w:eastAsia="en-US"/>
        </w:rPr>
        <w:t>, kdy by regulérnost losování zaručovala státní instituce, která by disponovala vhodným technickým vybavením a prováděla losování na žádost zadavatel</w:t>
      </w:r>
      <w:r w:rsidR="00213DB0" w:rsidRPr="007F3D2B">
        <w:rPr>
          <w:rFonts w:ascii="Arial" w:hAnsi="Arial" w:cs="Arial"/>
          <w:sz w:val="20"/>
          <w:szCs w:val="20"/>
          <w:lang w:eastAsia="en-US"/>
        </w:rPr>
        <w:t>e</w:t>
      </w:r>
      <w:r w:rsidRPr="007F3D2B">
        <w:rPr>
          <w:rFonts w:ascii="Arial" w:hAnsi="Arial" w:cs="Arial"/>
          <w:sz w:val="20"/>
          <w:szCs w:val="20"/>
          <w:lang w:eastAsia="en-US"/>
        </w:rPr>
        <w:t>.</w:t>
      </w:r>
    </w:p>
    <w:p w:rsidR="00711C5D" w:rsidRPr="007F3D2B" w:rsidRDefault="00711C5D" w:rsidP="007F3D2B">
      <w:pPr>
        <w:spacing w:before="120" w:line="276" w:lineRule="auto"/>
        <w:jc w:val="both"/>
        <w:rPr>
          <w:rFonts w:ascii="Arial" w:hAnsi="Arial" w:cs="Arial"/>
          <w:sz w:val="20"/>
          <w:szCs w:val="20"/>
          <w:lang w:eastAsia="en-US"/>
        </w:rPr>
      </w:pPr>
    </w:p>
    <w:p w:rsidR="001D42B9" w:rsidRPr="007F3D2B" w:rsidRDefault="001D42B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16481B" w:rsidRPr="007F3D2B">
        <w:rPr>
          <w:rFonts w:ascii="Arial" w:hAnsi="Arial" w:cs="Arial"/>
          <w:sz w:val="20"/>
          <w:szCs w:val="20"/>
          <w:lang w:eastAsia="en-US"/>
        </w:rPr>
        <w:t xml:space="preserve"> a přínosy</w:t>
      </w:r>
      <w:r w:rsidRPr="007F3D2B">
        <w:rPr>
          <w:rFonts w:ascii="Arial" w:hAnsi="Arial" w:cs="Arial"/>
          <w:sz w:val="20"/>
          <w:szCs w:val="20"/>
          <w:lang w:eastAsia="en-US"/>
        </w:rPr>
        <w:t>:</w:t>
      </w:r>
    </w:p>
    <w:p w:rsidR="001D42B9" w:rsidRDefault="0016481B"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Tato varianta </w:t>
      </w:r>
      <w:r w:rsidR="00A20099" w:rsidRPr="007F3D2B">
        <w:rPr>
          <w:rFonts w:ascii="Arial" w:hAnsi="Arial" w:cs="Arial"/>
          <w:sz w:val="20"/>
          <w:szCs w:val="20"/>
          <w:lang w:eastAsia="en-US"/>
        </w:rPr>
        <w:t>umožňuje spravedlivý a transparentní výběr dodavatelů, kteří budou vyzváni k podání nabídky.</w:t>
      </w:r>
      <w:r w:rsidRPr="007F3D2B">
        <w:rPr>
          <w:rFonts w:ascii="Arial" w:hAnsi="Arial" w:cs="Arial"/>
          <w:sz w:val="20"/>
          <w:szCs w:val="20"/>
          <w:lang w:eastAsia="en-US"/>
        </w:rPr>
        <w:t xml:space="preserve"> Rizikem</w:t>
      </w:r>
      <w:r w:rsidR="00763EF2">
        <w:rPr>
          <w:rFonts w:ascii="Arial" w:hAnsi="Arial" w:cs="Arial"/>
          <w:sz w:val="20"/>
          <w:szCs w:val="20"/>
          <w:lang w:eastAsia="en-US"/>
        </w:rPr>
        <w:t xml:space="preserve"> této varianty je pak</w:t>
      </w:r>
      <w:r w:rsidRPr="007F3D2B">
        <w:rPr>
          <w:rFonts w:ascii="Arial" w:hAnsi="Arial" w:cs="Arial"/>
          <w:sz w:val="20"/>
          <w:szCs w:val="20"/>
          <w:lang w:eastAsia="en-US"/>
        </w:rPr>
        <w:t xml:space="preserve"> skutečnost, že na základě losu může dojít k tomu, že v soutěži zůstanou méně kvalitní dodavatelé, případně dodavatelé s ekonomicky méně výhodnými nabídkami, zatímco kvalitní dodavatelé, či dodavatelé s ekonomicky výhodnými nabídkami budou ze soutěže na základě losu vyloučeni. </w:t>
      </w:r>
    </w:p>
    <w:p w:rsidR="0087442C" w:rsidRPr="007F3D2B" w:rsidRDefault="0087442C" w:rsidP="007F3D2B">
      <w:pPr>
        <w:spacing w:before="120" w:line="276" w:lineRule="auto"/>
        <w:jc w:val="both"/>
        <w:rPr>
          <w:rFonts w:ascii="Arial" w:hAnsi="Arial" w:cs="Arial"/>
          <w:sz w:val="20"/>
          <w:szCs w:val="20"/>
          <w:lang w:eastAsia="en-US"/>
        </w:rPr>
      </w:pPr>
    </w:p>
    <w:p w:rsidR="001D42B9" w:rsidRPr="007F3D2B" w:rsidRDefault="0082409C"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Podvarianta c) – </w:t>
      </w:r>
      <w:r w:rsidR="00711C5D" w:rsidRPr="007F3D2B">
        <w:rPr>
          <w:rFonts w:ascii="Arial" w:hAnsi="Arial" w:cs="Arial"/>
          <w:sz w:val="20"/>
          <w:szCs w:val="20"/>
          <w:lang w:eastAsia="en-US"/>
        </w:rPr>
        <w:t>na základě kritéria vyšší kvalifikace a losování se státní garancí</w:t>
      </w:r>
    </w:p>
    <w:p w:rsidR="0082409C" w:rsidRPr="007F3D2B" w:rsidRDefault="0082409C" w:rsidP="007F3D2B">
      <w:pPr>
        <w:spacing w:before="120" w:line="276" w:lineRule="auto"/>
        <w:jc w:val="both"/>
        <w:rPr>
          <w:rFonts w:ascii="Arial" w:hAnsi="Arial" w:cs="Arial"/>
          <w:sz w:val="20"/>
          <w:szCs w:val="20"/>
          <w:lang w:eastAsia="en-US"/>
        </w:rPr>
      </w:pPr>
    </w:p>
    <w:p w:rsidR="0082409C" w:rsidRPr="007F3D2B" w:rsidRDefault="0082409C"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82409C" w:rsidRPr="007F3D2B" w:rsidRDefault="00953237"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O</w:t>
      </w:r>
      <w:r w:rsidR="00711C5D" w:rsidRPr="007F3D2B">
        <w:rPr>
          <w:rFonts w:ascii="Arial" w:hAnsi="Arial" w:cs="Arial"/>
          <w:sz w:val="20"/>
          <w:szCs w:val="20"/>
          <w:lang w:eastAsia="en-US"/>
        </w:rPr>
        <w:t>mezování na základě kritéria vyšší kvalifikace a losování se státní garancí</w:t>
      </w:r>
      <w:r w:rsidRPr="007F3D2B">
        <w:rPr>
          <w:rFonts w:ascii="Arial" w:hAnsi="Arial" w:cs="Arial"/>
          <w:sz w:val="20"/>
          <w:szCs w:val="20"/>
          <w:lang w:eastAsia="en-US"/>
        </w:rPr>
        <w:t>. Dáno k úvaze zadavatele, které kritérium zvolí.</w:t>
      </w:r>
    </w:p>
    <w:p w:rsidR="00711C5D" w:rsidRPr="007F3D2B" w:rsidRDefault="00711C5D" w:rsidP="007F3D2B">
      <w:pPr>
        <w:spacing w:before="120" w:line="276" w:lineRule="auto"/>
        <w:jc w:val="both"/>
        <w:rPr>
          <w:rFonts w:ascii="Arial" w:hAnsi="Arial" w:cs="Arial"/>
          <w:sz w:val="20"/>
          <w:szCs w:val="20"/>
          <w:lang w:eastAsia="en-US"/>
        </w:rPr>
      </w:pPr>
    </w:p>
    <w:p w:rsidR="00B663F9" w:rsidRPr="007F3D2B" w:rsidRDefault="0082409C"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16481B" w:rsidRPr="007F3D2B">
        <w:rPr>
          <w:rFonts w:ascii="Arial" w:hAnsi="Arial" w:cs="Arial"/>
          <w:sz w:val="20"/>
          <w:szCs w:val="20"/>
          <w:lang w:eastAsia="en-US"/>
        </w:rPr>
        <w:t xml:space="preserve"> a přínosy</w:t>
      </w:r>
      <w:r w:rsidRPr="007F3D2B">
        <w:rPr>
          <w:rFonts w:ascii="Arial" w:hAnsi="Arial" w:cs="Arial"/>
          <w:sz w:val="20"/>
          <w:szCs w:val="20"/>
          <w:lang w:eastAsia="en-US"/>
        </w:rPr>
        <w:t>:</w:t>
      </w:r>
      <w:r w:rsidR="00B663F9" w:rsidRPr="007F3D2B">
        <w:rPr>
          <w:rFonts w:ascii="Arial" w:hAnsi="Arial" w:cs="Arial"/>
          <w:sz w:val="20"/>
          <w:szCs w:val="20"/>
          <w:lang w:eastAsia="en-US"/>
        </w:rPr>
        <w:t xml:space="preserve"> </w:t>
      </w:r>
    </w:p>
    <w:p w:rsidR="0082409C" w:rsidRPr="007F3D2B" w:rsidRDefault="00B663F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w:t>
      </w:r>
      <w:r w:rsidR="00953237" w:rsidRPr="007F3D2B">
        <w:rPr>
          <w:rFonts w:ascii="Arial" w:hAnsi="Arial" w:cs="Arial"/>
          <w:sz w:val="20"/>
          <w:szCs w:val="20"/>
          <w:lang w:eastAsia="en-US"/>
        </w:rPr>
        <w:t xml:space="preserve">izika shodná s předchozími body. </w:t>
      </w:r>
    </w:p>
    <w:p w:rsidR="0082409C" w:rsidRPr="007F3D2B" w:rsidRDefault="0082409C" w:rsidP="007F3D2B">
      <w:pPr>
        <w:spacing w:before="120" w:line="276" w:lineRule="auto"/>
        <w:jc w:val="both"/>
        <w:rPr>
          <w:rFonts w:ascii="Arial" w:hAnsi="Arial" w:cs="Arial"/>
          <w:sz w:val="20"/>
          <w:szCs w:val="20"/>
          <w:lang w:eastAsia="en-US"/>
        </w:rPr>
      </w:pPr>
    </w:p>
    <w:p w:rsidR="0082409C" w:rsidRPr="007F3D2B" w:rsidRDefault="0082409C"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Závěr:</w:t>
      </w:r>
      <w:r w:rsidR="00785E2E" w:rsidRPr="007F3D2B">
        <w:rPr>
          <w:rFonts w:ascii="Arial" w:hAnsi="Arial" w:cs="Arial"/>
          <w:sz w:val="20"/>
          <w:szCs w:val="20"/>
          <w:lang w:eastAsia="en-US"/>
        </w:rPr>
        <w:t xml:space="preserve"> </w:t>
      </w:r>
      <w:r w:rsidR="00E11375">
        <w:rPr>
          <w:rFonts w:ascii="Arial" w:hAnsi="Arial" w:cs="Arial"/>
          <w:sz w:val="20"/>
          <w:szCs w:val="20"/>
          <w:lang w:eastAsia="en-US"/>
        </w:rPr>
        <w:t>Předkladatel</w:t>
      </w:r>
      <w:r w:rsidR="00785E2E" w:rsidRPr="007F3D2B">
        <w:rPr>
          <w:rFonts w:ascii="Arial" w:hAnsi="Arial" w:cs="Arial"/>
          <w:sz w:val="20"/>
          <w:szCs w:val="20"/>
          <w:lang w:eastAsia="en-US"/>
        </w:rPr>
        <w:t xml:space="preserve"> doporučuje přijetí </w:t>
      </w:r>
      <w:r w:rsidR="0016481B" w:rsidRPr="007F3D2B">
        <w:rPr>
          <w:rFonts w:ascii="Arial" w:hAnsi="Arial" w:cs="Arial"/>
          <w:sz w:val="20"/>
          <w:szCs w:val="20"/>
          <w:lang w:eastAsia="en-US"/>
        </w:rPr>
        <w:t xml:space="preserve">Varianty 2, v případě užšího řízení navrhuje </w:t>
      </w:r>
      <w:r w:rsidR="00F43B0D" w:rsidRPr="007F3D2B">
        <w:rPr>
          <w:rFonts w:ascii="Arial" w:hAnsi="Arial" w:cs="Arial"/>
          <w:sz w:val="20"/>
          <w:szCs w:val="20"/>
          <w:lang w:eastAsia="en-US"/>
        </w:rPr>
        <w:t>neumožnit zadavatelům</w:t>
      </w:r>
      <w:r w:rsidR="0016481B" w:rsidRPr="007F3D2B">
        <w:rPr>
          <w:rFonts w:ascii="Arial" w:hAnsi="Arial" w:cs="Arial"/>
          <w:sz w:val="20"/>
          <w:szCs w:val="20"/>
          <w:lang w:eastAsia="en-US"/>
        </w:rPr>
        <w:t xml:space="preserve"> omezení počtu uchazečů, </w:t>
      </w:r>
      <w:r w:rsidR="00F43B0D" w:rsidRPr="007F3D2B">
        <w:rPr>
          <w:rFonts w:ascii="Arial" w:hAnsi="Arial" w:cs="Arial"/>
          <w:sz w:val="20"/>
          <w:szCs w:val="20"/>
          <w:lang w:eastAsia="en-US"/>
        </w:rPr>
        <w:t>v jednacím</w:t>
      </w:r>
      <w:r w:rsidR="0016481B" w:rsidRPr="007F3D2B">
        <w:rPr>
          <w:rFonts w:ascii="Arial" w:hAnsi="Arial" w:cs="Arial"/>
          <w:sz w:val="20"/>
          <w:szCs w:val="20"/>
          <w:lang w:eastAsia="en-US"/>
        </w:rPr>
        <w:t xml:space="preserve"> řízení s uveřejněním </w:t>
      </w:r>
      <w:r w:rsidR="00F43B0D" w:rsidRPr="007F3D2B">
        <w:rPr>
          <w:rFonts w:ascii="Arial" w:hAnsi="Arial" w:cs="Arial"/>
          <w:sz w:val="20"/>
          <w:szCs w:val="20"/>
          <w:lang w:eastAsia="en-US"/>
        </w:rPr>
        <w:t xml:space="preserve">pak </w:t>
      </w:r>
      <w:r w:rsidR="0016481B" w:rsidRPr="007F3D2B">
        <w:rPr>
          <w:rFonts w:ascii="Arial" w:hAnsi="Arial" w:cs="Arial"/>
          <w:sz w:val="20"/>
          <w:szCs w:val="20"/>
          <w:lang w:eastAsia="en-US"/>
        </w:rPr>
        <w:t xml:space="preserve">doporučuje umožnit omezování pouze na základě vyšší kvalifikace.  </w:t>
      </w:r>
    </w:p>
    <w:p w:rsidR="007F3D2B" w:rsidRDefault="007F3D2B" w:rsidP="007F3D2B">
      <w:pPr>
        <w:spacing w:before="120" w:line="276" w:lineRule="auto"/>
        <w:jc w:val="both"/>
        <w:rPr>
          <w:rFonts w:ascii="Arial" w:hAnsi="Arial" w:cs="Arial"/>
          <w:b/>
          <w:sz w:val="20"/>
          <w:szCs w:val="20"/>
          <w:lang w:eastAsia="en-US"/>
        </w:rPr>
      </w:pPr>
    </w:p>
    <w:p w:rsidR="007F3D2B" w:rsidRDefault="007F3D2B" w:rsidP="007F3D2B">
      <w:pPr>
        <w:spacing w:before="120" w:line="276" w:lineRule="auto"/>
        <w:jc w:val="both"/>
        <w:rPr>
          <w:rFonts w:ascii="Arial" w:hAnsi="Arial" w:cs="Arial"/>
          <w:b/>
          <w:sz w:val="20"/>
          <w:szCs w:val="20"/>
          <w:lang w:eastAsia="en-US"/>
        </w:rPr>
      </w:pPr>
    </w:p>
    <w:p w:rsidR="0082409C" w:rsidRPr="007F3D2B" w:rsidRDefault="007F6D85"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F</w:t>
      </w:r>
      <w:r w:rsidR="0056431E" w:rsidRPr="007F3D2B">
        <w:rPr>
          <w:rFonts w:ascii="Arial" w:hAnsi="Arial" w:cs="Arial"/>
          <w:b/>
          <w:sz w:val="20"/>
          <w:szCs w:val="20"/>
          <w:lang w:eastAsia="en-US"/>
        </w:rPr>
        <w:t>.</w:t>
      </w:r>
      <w:r w:rsidRPr="007F3D2B">
        <w:rPr>
          <w:rFonts w:ascii="Arial" w:hAnsi="Arial" w:cs="Arial"/>
          <w:b/>
          <w:sz w:val="20"/>
          <w:szCs w:val="20"/>
          <w:lang w:eastAsia="en-US"/>
        </w:rPr>
        <w:t xml:space="preserve"> </w:t>
      </w:r>
      <w:r w:rsidR="004D03C7" w:rsidRPr="007F3D2B">
        <w:rPr>
          <w:rFonts w:ascii="Arial" w:hAnsi="Arial" w:cs="Arial"/>
          <w:b/>
          <w:sz w:val="20"/>
          <w:szCs w:val="20"/>
          <w:lang w:eastAsia="en-US"/>
        </w:rPr>
        <w:t>Ekonomická kvalifikace</w:t>
      </w:r>
    </w:p>
    <w:p w:rsidR="0082409C" w:rsidRPr="007F3D2B" w:rsidRDefault="0082409C" w:rsidP="007F3D2B">
      <w:pPr>
        <w:spacing w:before="120" w:line="276" w:lineRule="auto"/>
        <w:jc w:val="both"/>
        <w:rPr>
          <w:rFonts w:ascii="Arial" w:hAnsi="Arial" w:cs="Arial"/>
          <w:sz w:val="20"/>
          <w:szCs w:val="20"/>
          <w:lang w:eastAsia="en-US"/>
        </w:rPr>
      </w:pPr>
    </w:p>
    <w:p w:rsidR="0082409C" w:rsidRPr="007F3D2B" w:rsidRDefault="0082409C"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Varianta 1 – nulová varianta</w:t>
      </w:r>
    </w:p>
    <w:p w:rsidR="0082409C" w:rsidRPr="007F3D2B" w:rsidRDefault="0082409C" w:rsidP="007F3D2B">
      <w:pPr>
        <w:spacing w:before="120" w:line="276" w:lineRule="auto"/>
        <w:jc w:val="both"/>
        <w:rPr>
          <w:rFonts w:ascii="Arial" w:hAnsi="Arial" w:cs="Arial"/>
          <w:sz w:val="20"/>
          <w:szCs w:val="20"/>
          <w:lang w:eastAsia="en-US"/>
        </w:rPr>
      </w:pPr>
    </w:p>
    <w:p w:rsidR="0082409C" w:rsidRPr="007F3D2B" w:rsidRDefault="0082409C"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82409C" w:rsidRPr="007F3D2B" w:rsidRDefault="0082409C"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Zachování současného stavu upraveného dle stávající právní úpravy</w:t>
      </w:r>
      <w:r w:rsidR="00DB76E1" w:rsidRPr="007F3D2B">
        <w:rPr>
          <w:rFonts w:ascii="Arial" w:hAnsi="Arial" w:cs="Arial"/>
          <w:sz w:val="20"/>
          <w:szCs w:val="20"/>
          <w:lang w:eastAsia="en-US"/>
        </w:rPr>
        <w:t>.</w:t>
      </w:r>
      <w:r w:rsidRPr="007F3D2B">
        <w:rPr>
          <w:rFonts w:ascii="Arial" w:hAnsi="Arial" w:cs="Arial"/>
          <w:sz w:val="20"/>
          <w:szCs w:val="20"/>
          <w:lang w:eastAsia="en-US"/>
        </w:rPr>
        <w:t xml:space="preserve"> </w:t>
      </w:r>
      <w:r w:rsidR="00DB76E1" w:rsidRPr="007F3D2B">
        <w:rPr>
          <w:rFonts w:ascii="Arial" w:hAnsi="Arial" w:cs="Arial"/>
          <w:sz w:val="20"/>
          <w:szCs w:val="20"/>
          <w:lang w:eastAsia="en-US"/>
        </w:rPr>
        <w:t>Z</w:t>
      </w:r>
      <w:r w:rsidRPr="007F3D2B">
        <w:rPr>
          <w:rFonts w:ascii="Arial" w:hAnsi="Arial" w:cs="Arial"/>
          <w:sz w:val="20"/>
          <w:szCs w:val="20"/>
          <w:lang w:eastAsia="en-US"/>
        </w:rPr>
        <w:t xml:space="preserve">achovat </w:t>
      </w:r>
      <w:r w:rsidR="00DB76E1" w:rsidRPr="007F3D2B">
        <w:rPr>
          <w:rFonts w:ascii="Arial" w:hAnsi="Arial" w:cs="Arial"/>
          <w:sz w:val="20"/>
          <w:szCs w:val="20"/>
          <w:lang w:eastAsia="en-US"/>
        </w:rPr>
        <w:t xml:space="preserve">úplný </w:t>
      </w:r>
      <w:r w:rsidRPr="007F3D2B">
        <w:rPr>
          <w:rFonts w:ascii="Arial" w:hAnsi="Arial" w:cs="Arial"/>
          <w:sz w:val="20"/>
          <w:szCs w:val="20"/>
          <w:lang w:eastAsia="en-US"/>
        </w:rPr>
        <w:t>zákaz p</w:t>
      </w:r>
      <w:r w:rsidR="00CB2700" w:rsidRPr="007F3D2B">
        <w:rPr>
          <w:rFonts w:ascii="Arial" w:hAnsi="Arial" w:cs="Arial"/>
          <w:sz w:val="20"/>
          <w:szCs w:val="20"/>
          <w:lang w:eastAsia="en-US"/>
        </w:rPr>
        <w:t>oužívat ekonomickou kvalifikaci</w:t>
      </w:r>
      <w:r w:rsidR="00DB76E1" w:rsidRPr="007F3D2B">
        <w:rPr>
          <w:rFonts w:ascii="Arial" w:hAnsi="Arial" w:cs="Arial"/>
          <w:sz w:val="20"/>
          <w:szCs w:val="20"/>
          <w:lang w:eastAsia="en-US"/>
        </w:rPr>
        <w:t xml:space="preserve"> tak</w:t>
      </w:r>
      <w:r w:rsidR="00763EF2">
        <w:rPr>
          <w:rFonts w:ascii="Arial" w:hAnsi="Arial" w:cs="Arial"/>
          <w:sz w:val="20"/>
          <w:szCs w:val="20"/>
          <w:lang w:eastAsia="en-US"/>
        </w:rPr>
        <w:t>,</w:t>
      </w:r>
      <w:r w:rsidR="00DB76E1" w:rsidRPr="007F3D2B">
        <w:rPr>
          <w:rFonts w:ascii="Arial" w:hAnsi="Arial" w:cs="Arial"/>
          <w:sz w:val="20"/>
          <w:szCs w:val="20"/>
          <w:lang w:eastAsia="en-US"/>
        </w:rPr>
        <w:t xml:space="preserve"> jak bylo do ZVZ zavedeno novelou č. 55/1012 Sb.,</w:t>
      </w:r>
      <w:r w:rsidRPr="007F3D2B">
        <w:rPr>
          <w:rFonts w:ascii="Arial" w:hAnsi="Arial" w:cs="Arial"/>
          <w:sz w:val="20"/>
          <w:szCs w:val="20"/>
          <w:lang w:eastAsia="en-US"/>
        </w:rPr>
        <w:t xml:space="preserve"> a prokazovat ekonomickou kvalifikaci </w:t>
      </w:r>
      <w:r w:rsidR="00DB76E1" w:rsidRPr="007F3D2B">
        <w:rPr>
          <w:rFonts w:ascii="Arial" w:hAnsi="Arial" w:cs="Arial"/>
          <w:sz w:val="20"/>
          <w:szCs w:val="20"/>
          <w:lang w:eastAsia="en-US"/>
        </w:rPr>
        <w:t xml:space="preserve">pouze </w:t>
      </w:r>
      <w:r w:rsidRPr="007F3D2B">
        <w:rPr>
          <w:rFonts w:ascii="Arial" w:hAnsi="Arial" w:cs="Arial"/>
          <w:sz w:val="20"/>
          <w:szCs w:val="20"/>
          <w:lang w:eastAsia="en-US"/>
        </w:rPr>
        <w:t>čestným prohlášením</w:t>
      </w:r>
      <w:r w:rsidR="00E94AC2" w:rsidRPr="007F3D2B">
        <w:rPr>
          <w:rFonts w:ascii="Arial" w:hAnsi="Arial" w:cs="Arial"/>
          <w:sz w:val="20"/>
          <w:szCs w:val="20"/>
          <w:lang w:eastAsia="en-US"/>
        </w:rPr>
        <w:t xml:space="preserve"> dodavatele o jeho ekonomické a finanční způsobilosti splnit veřejnou zakázku</w:t>
      </w:r>
      <w:r w:rsidR="00F76890" w:rsidRPr="007F3D2B">
        <w:rPr>
          <w:rFonts w:ascii="Arial" w:hAnsi="Arial" w:cs="Arial"/>
          <w:sz w:val="20"/>
          <w:szCs w:val="20"/>
          <w:lang w:eastAsia="en-US"/>
        </w:rPr>
        <w:t>.</w:t>
      </w:r>
    </w:p>
    <w:p w:rsidR="0082409C" w:rsidRPr="007F3D2B" w:rsidRDefault="0082409C" w:rsidP="007F3D2B">
      <w:pPr>
        <w:spacing w:before="120" w:line="276" w:lineRule="auto"/>
        <w:jc w:val="both"/>
        <w:rPr>
          <w:rFonts w:ascii="Arial" w:hAnsi="Arial" w:cs="Arial"/>
          <w:sz w:val="20"/>
          <w:szCs w:val="20"/>
          <w:lang w:eastAsia="en-US"/>
        </w:rPr>
      </w:pPr>
    </w:p>
    <w:p w:rsidR="00763EF2" w:rsidRDefault="0082409C"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DB76E1" w:rsidRPr="007F3D2B">
        <w:rPr>
          <w:rFonts w:ascii="Arial" w:hAnsi="Arial" w:cs="Arial"/>
          <w:sz w:val="20"/>
          <w:szCs w:val="20"/>
          <w:lang w:eastAsia="en-US"/>
        </w:rPr>
        <w:t xml:space="preserve"> a přínosy</w:t>
      </w:r>
      <w:r w:rsidRPr="007F3D2B">
        <w:rPr>
          <w:rFonts w:ascii="Arial" w:hAnsi="Arial" w:cs="Arial"/>
          <w:sz w:val="20"/>
          <w:szCs w:val="20"/>
          <w:lang w:eastAsia="en-US"/>
        </w:rPr>
        <w:t>:</w:t>
      </w:r>
    </w:p>
    <w:p w:rsidR="0082409C" w:rsidRPr="007F3D2B" w:rsidRDefault="007908F7"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Zadavateli nebude umožněno požadovat prokázání konkrétních skutečností potvrzující</w:t>
      </w:r>
      <w:r w:rsidR="00F76890" w:rsidRPr="007F3D2B">
        <w:rPr>
          <w:rFonts w:ascii="Arial" w:hAnsi="Arial" w:cs="Arial"/>
          <w:sz w:val="20"/>
          <w:szCs w:val="20"/>
          <w:lang w:eastAsia="en-US"/>
        </w:rPr>
        <w:t>ch</w:t>
      </w:r>
      <w:r w:rsidRPr="007F3D2B">
        <w:rPr>
          <w:rFonts w:ascii="Arial" w:hAnsi="Arial" w:cs="Arial"/>
          <w:sz w:val="20"/>
          <w:szCs w:val="20"/>
          <w:lang w:eastAsia="en-US"/>
        </w:rPr>
        <w:t xml:space="preserve"> ekonomickou sílu a stabilitu dodavatele. Rizika jsou obdobná jako u varianty 2.</w:t>
      </w:r>
      <w:r w:rsidR="00DB76E1" w:rsidRPr="007F3D2B">
        <w:rPr>
          <w:rFonts w:ascii="Arial" w:hAnsi="Arial" w:cs="Arial"/>
          <w:sz w:val="20"/>
          <w:szCs w:val="20"/>
          <w:lang w:eastAsia="en-US"/>
        </w:rPr>
        <w:t xml:space="preserve"> Výhodou této varianty </w:t>
      </w:r>
      <w:r w:rsidR="00DB76E1" w:rsidRPr="007F3D2B">
        <w:rPr>
          <w:rFonts w:ascii="Arial" w:hAnsi="Arial" w:cs="Arial"/>
          <w:sz w:val="20"/>
          <w:szCs w:val="20"/>
          <w:lang w:eastAsia="en-US"/>
        </w:rPr>
        <w:lastRenderedPageBreak/>
        <w:t>je pak především prevence před stanovením nepřiměřených ekonom</w:t>
      </w:r>
      <w:r w:rsidR="00763EF2">
        <w:rPr>
          <w:rFonts w:ascii="Arial" w:hAnsi="Arial" w:cs="Arial"/>
          <w:sz w:val="20"/>
          <w:szCs w:val="20"/>
          <w:lang w:eastAsia="en-US"/>
        </w:rPr>
        <w:t>ických kvalifikačních požadavků</w:t>
      </w:r>
      <w:r w:rsidR="00DB76E1" w:rsidRPr="007F3D2B">
        <w:rPr>
          <w:rFonts w:ascii="Arial" w:hAnsi="Arial" w:cs="Arial"/>
          <w:sz w:val="20"/>
          <w:szCs w:val="20"/>
          <w:lang w:eastAsia="en-US"/>
        </w:rPr>
        <w:t xml:space="preserve"> vedoucích k diskriminaci – právě z tohoto důvodu by</w:t>
      </w:r>
      <w:r w:rsidR="00763EF2">
        <w:rPr>
          <w:rFonts w:ascii="Arial" w:hAnsi="Arial" w:cs="Arial"/>
          <w:sz w:val="20"/>
          <w:szCs w:val="20"/>
          <w:lang w:eastAsia="en-US"/>
        </w:rPr>
        <w:t>la ekonomická kvalifikace z</w:t>
      </w:r>
      <w:r w:rsidR="00DB76E1" w:rsidRPr="007F3D2B">
        <w:rPr>
          <w:rFonts w:ascii="Arial" w:hAnsi="Arial" w:cs="Arial"/>
          <w:sz w:val="20"/>
          <w:szCs w:val="20"/>
          <w:lang w:eastAsia="en-US"/>
        </w:rPr>
        <w:t xml:space="preserve">e ZVZ </w:t>
      </w:r>
      <w:r w:rsidR="00763EF2">
        <w:rPr>
          <w:rFonts w:ascii="Arial" w:hAnsi="Arial" w:cs="Arial"/>
          <w:sz w:val="20"/>
          <w:szCs w:val="20"/>
          <w:lang w:eastAsia="en-US"/>
        </w:rPr>
        <w:t>vypuštěna</w:t>
      </w:r>
      <w:r w:rsidR="00DB76E1" w:rsidRPr="007F3D2B">
        <w:rPr>
          <w:rFonts w:ascii="Arial" w:hAnsi="Arial" w:cs="Arial"/>
          <w:sz w:val="20"/>
          <w:szCs w:val="20"/>
          <w:lang w:eastAsia="en-US"/>
        </w:rPr>
        <w:t xml:space="preserve">. </w:t>
      </w:r>
    </w:p>
    <w:p w:rsidR="0082409C" w:rsidRPr="007F3D2B" w:rsidRDefault="0082409C" w:rsidP="007F3D2B">
      <w:pPr>
        <w:spacing w:before="120" w:line="276" w:lineRule="auto"/>
        <w:jc w:val="both"/>
        <w:rPr>
          <w:rFonts w:ascii="Arial" w:hAnsi="Arial" w:cs="Arial"/>
          <w:sz w:val="20"/>
          <w:szCs w:val="20"/>
          <w:lang w:eastAsia="en-US"/>
        </w:rPr>
      </w:pPr>
    </w:p>
    <w:p w:rsidR="00E63D84" w:rsidRPr="007F3D2B" w:rsidRDefault="00E63D84"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 xml:space="preserve">Varianta 2 – </w:t>
      </w:r>
      <w:r w:rsidR="007C04E0" w:rsidRPr="007F3D2B">
        <w:rPr>
          <w:rFonts w:ascii="Arial" w:hAnsi="Arial" w:cs="Arial"/>
          <w:b/>
          <w:sz w:val="20"/>
          <w:szCs w:val="20"/>
          <w:lang w:eastAsia="en-US"/>
        </w:rPr>
        <w:t>rozšíření o zákaz požadavku předložit čestné prohlášení</w:t>
      </w:r>
      <w:r w:rsidRPr="007F3D2B">
        <w:rPr>
          <w:rFonts w:ascii="Arial" w:hAnsi="Arial" w:cs="Arial"/>
          <w:b/>
          <w:sz w:val="20"/>
          <w:szCs w:val="20"/>
          <w:lang w:eastAsia="en-US"/>
        </w:rPr>
        <w:t xml:space="preserve"> </w:t>
      </w:r>
    </w:p>
    <w:p w:rsidR="00E63D84" w:rsidRPr="007F3D2B" w:rsidRDefault="00E63D84" w:rsidP="007F3D2B">
      <w:pPr>
        <w:spacing w:before="120" w:line="276" w:lineRule="auto"/>
        <w:jc w:val="both"/>
        <w:rPr>
          <w:rFonts w:ascii="Arial" w:hAnsi="Arial" w:cs="Arial"/>
          <w:sz w:val="20"/>
          <w:szCs w:val="20"/>
          <w:lang w:eastAsia="en-US"/>
        </w:rPr>
      </w:pPr>
    </w:p>
    <w:p w:rsidR="00E63D84" w:rsidRPr="007F3D2B" w:rsidRDefault="00E63D84"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E63D84" w:rsidRPr="007F3D2B" w:rsidRDefault="007C04E0"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Zadavateli nebude</w:t>
      </w:r>
      <w:r w:rsidR="00E94AC2" w:rsidRPr="007F3D2B">
        <w:rPr>
          <w:rFonts w:ascii="Arial" w:hAnsi="Arial" w:cs="Arial"/>
          <w:sz w:val="20"/>
          <w:szCs w:val="20"/>
          <w:lang w:eastAsia="en-US"/>
        </w:rPr>
        <w:t>, oproti předchozí variantě,</w:t>
      </w:r>
      <w:r w:rsidRPr="007F3D2B">
        <w:rPr>
          <w:rFonts w:ascii="Arial" w:hAnsi="Arial" w:cs="Arial"/>
          <w:sz w:val="20"/>
          <w:szCs w:val="20"/>
          <w:lang w:eastAsia="en-US"/>
        </w:rPr>
        <w:t xml:space="preserve"> umožněno požadovat předložení čestného prohlášení o ekonomické a finanční způsobilosti splnit veřejnou zakázku. </w:t>
      </w:r>
      <w:r w:rsidR="00E94AC2" w:rsidRPr="007F3D2B">
        <w:rPr>
          <w:rFonts w:ascii="Arial" w:hAnsi="Arial" w:cs="Arial"/>
          <w:sz w:val="20"/>
          <w:szCs w:val="20"/>
          <w:lang w:eastAsia="en-US"/>
        </w:rPr>
        <w:t>Ekonomická kvalifikace tedy nebude prokazována vůbec.</w:t>
      </w:r>
    </w:p>
    <w:p w:rsidR="00B525DE" w:rsidRPr="007F3D2B" w:rsidRDefault="00B525DE" w:rsidP="007F3D2B">
      <w:pPr>
        <w:spacing w:before="120" w:line="276" w:lineRule="auto"/>
        <w:jc w:val="both"/>
        <w:rPr>
          <w:rFonts w:ascii="Arial" w:hAnsi="Arial" w:cs="Arial"/>
          <w:sz w:val="20"/>
          <w:szCs w:val="20"/>
          <w:lang w:eastAsia="en-US"/>
        </w:rPr>
      </w:pPr>
    </w:p>
    <w:p w:rsidR="00763EF2" w:rsidRDefault="00E63D84"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066415" w:rsidRPr="007F3D2B">
        <w:rPr>
          <w:rFonts w:ascii="Arial" w:hAnsi="Arial" w:cs="Arial"/>
          <w:sz w:val="20"/>
          <w:szCs w:val="20"/>
          <w:lang w:eastAsia="en-US"/>
        </w:rPr>
        <w:t xml:space="preserve"> a přínosy</w:t>
      </w:r>
      <w:r w:rsidRPr="007F3D2B">
        <w:rPr>
          <w:rFonts w:ascii="Arial" w:hAnsi="Arial" w:cs="Arial"/>
          <w:sz w:val="20"/>
          <w:szCs w:val="20"/>
          <w:lang w:eastAsia="en-US"/>
        </w:rPr>
        <w:t>:</w:t>
      </w:r>
    </w:p>
    <w:p w:rsidR="00E63D84" w:rsidRPr="007F3D2B" w:rsidRDefault="00B525DE"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Nebude v žádné míře prokazována ekonomická způsobilost dodavatele. Je zde, z pohledu předkladatele, zanedbatelné riziko, že zakázku získá dodavatel ekonomick</w:t>
      </w:r>
      <w:r w:rsidR="006560F2" w:rsidRPr="007F3D2B">
        <w:rPr>
          <w:rFonts w:ascii="Arial" w:hAnsi="Arial" w:cs="Arial"/>
          <w:sz w:val="20"/>
          <w:szCs w:val="20"/>
          <w:lang w:eastAsia="en-US"/>
        </w:rPr>
        <w:t>y</w:t>
      </w:r>
      <w:r w:rsidRPr="007F3D2B">
        <w:rPr>
          <w:rFonts w:ascii="Arial" w:hAnsi="Arial" w:cs="Arial"/>
          <w:sz w:val="20"/>
          <w:szCs w:val="20"/>
          <w:lang w:eastAsia="en-US"/>
        </w:rPr>
        <w:t xml:space="preserve"> nezpůsobilý. Ekonomická způsobilost je však „prokazována“ také nepřímo splněním jiných kvalifikačních požadavků (např. požadavky</w:t>
      </w:r>
      <w:r w:rsidR="00E94AC2" w:rsidRPr="007F3D2B">
        <w:rPr>
          <w:rFonts w:ascii="Arial" w:hAnsi="Arial" w:cs="Arial"/>
          <w:sz w:val="20"/>
          <w:szCs w:val="20"/>
          <w:lang w:eastAsia="en-US"/>
        </w:rPr>
        <w:t xml:space="preserve"> na referenční zakázky, technické kapacity atp.</w:t>
      </w:r>
      <w:r w:rsidR="00763EF2">
        <w:rPr>
          <w:rFonts w:ascii="Arial" w:hAnsi="Arial" w:cs="Arial"/>
          <w:sz w:val="20"/>
          <w:szCs w:val="20"/>
          <w:lang w:eastAsia="en-US"/>
        </w:rPr>
        <w:t>).</w:t>
      </w:r>
      <w:r w:rsidRPr="007F3D2B">
        <w:rPr>
          <w:rFonts w:ascii="Arial" w:hAnsi="Arial" w:cs="Arial"/>
          <w:sz w:val="20"/>
          <w:szCs w:val="20"/>
          <w:lang w:eastAsia="en-US"/>
        </w:rPr>
        <w:t xml:space="preserve"> </w:t>
      </w:r>
    </w:p>
    <w:p w:rsidR="00E63D84" w:rsidRPr="007F3D2B" w:rsidRDefault="00066415"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Přínos této varianty spočívá v prevenci před zneužívání</w:t>
      </w:r>
      <w:r w:rsidR="00262AD0" w:rsidRPr="007F3D2B">
        <w:rPr>
          <w:rFonts w:ascii="Arial" w:hAnsi="Arial" w:cs="Arial"/>
          <w:sz w:val="20"/>
          <w:szCs w:val="20"/>
          <w:lang w:eastAsia="en-US"/>
        </w:rPr>
        <w:t>m</w:t>
      </w:r>
      <w:r w:rsidRPr="007F3D2B">
        <w:rPr>
          <w:rFonts w:ascii="Arial" w:hAnsi="Arial" w:cs="Arial"/>
          <w:sz w:val="20"/>
          <w:szCs w:val="20"/>
          <w:lang w:eastAsia="en-US"/>
        </w:rPr>
        <w:t xml:space="preserve"> ekonomické kvalifikace</w:t>
      </w:r>
      <w:r w:rsidR="00763EF2">
        <w:rPr>
          <w:rFonts w:ascii="Arial" w:hAnsi="Arial" w:cs="Arial"/>
          <w:sz w:val="20"/>
          <w:szCs w:val="20"/>
          <w:lang w:eastAsia="en-US"/>
        </w:rPr>
        <w:t>.</w:t>
      </w:r>
    </w:p>
    <w:p w:rsidR="009F5C80" w:rsidRPr="007F3D2B" w:rsidRDefault="009F5C80" w:rsidP="007F3D2B">
      <w:pPr>
        <w:spacing w:before="120" w:line="276" w:lineRule="auto"/>
        <w:jc w:val="both"/>
        <w:rPr>
          <w:rFonts w:ascii="Arial" w:hAnsi="Arial" w:cs="Arial"/>
          <w:sz w:val="20"/>
          <w:szCs w:val="20"/>
          <w:lang w:eastAsia="en-US"/>
        </w:rPr>
      </w:pPr>
    </w:p>
    <w:p w:rsidR="0082409C" w:rsidRPr="007F3D2B" w:rsidRDefault="004D03C7"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 xml:space="preserve">Varianta </w:t>
      </w:r>
      <w:r w:rsidR="00E63D84" w:rsidRPr="007F3D2B">
        <w:rPr>
          <w:rFonts w:ascii="Arial" w:hAnsi="Arial" w:cs="Arial"/>
          <w:b/>
          <w:sz w:val="20"/>
          <w:szCs w:val="20"/>
          <w:lang w:eastAsia="en-US"/>
        </w:rPr>
        <w:t>3</w:t>
      </w:r>
      <w:r w:rsidRPr="007F3D2B">
        <w:rPr>
          <w:rFonts w:ascii="Arial" w:hAnsi="Arial" w:cs="Arial"/>
          <w:b/>
          <w:sz w:val="20"/>
          <w:szCs w:val="20"/>
          <w:lang w:eastAsia="en-US"/>
        </w:rPr>
        <w:t xml:space="preserve"> – </w:t>
      </w:r>
      <w:r w:rsidR="00E94AC2" w:rsidRPr="007F3D2B">
        <w:rPr>
          <w:rFonts w:ascii="Arial" w:hAnsi="Arial" w:cs="Arial"/>
          <w:b/>
          <w:sz w:val="20"/>
          <w:szCs w:val="20"/>
          <w:lang w:eastAsia="en-US"/>
        </w:rPr>
        <w:t xml:space="preserve">ekonomickou kvalifikaci umožnit, ale </w:t>
      </w:r>
      <w:r w:rsidRPr="007F3D2B">
        <w:rPr>
          <w:rFonts w:ascii="Arial" w:hAnsi="Arial" w:cs="Arial"/>
          <w:b/>
          <w:sz w:val="20"/>
          <w:szCs w:val="20"/>
          <w:lang w:eastAsia="en-US"/>
        </w:rPr>
        <w:t xml:space="preserve">omezit výčet možností pro kvalifikaci </w:t>
      </w:r>
    </w:p>
    <w:p w:rsidR="0082409C" w:rsidRPr="007F3D2B" w:rsidRDefault="0082409C" w:rsidP="007F3D2B">
      <w:pPr>
        <w:spacing w:before="120" w:line="276" w:lineRule="auto"/>
        <w:jc w:val="both"/>
        <w:rPr>
          <w:rFonts w:ascii="Arial" w:hAnsi="Arial" w:cs="Arial"/>
          <w:sz w:val="20"/>
          <w:szCs w:val="20"/>
          <w:lang w:eastAsia="en-US"/>
        </w:rPr>
      </w:pPr>
    </w:p>
    <w:p w:rsidR="006E1791" w:rsidRPr="007F3D2B" w:rsidRDefault="0082409C"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0D2E9A" w:rsidRPr="007F3D2B" w:rsidRDefault="000D2E9A"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Za d</w:t>
      </w:r>
      <w:r w:rsidR="006E1791" w:rsidRPr="007F3D2B">
        <w:rPr>
          <w:rFonts w:ascii="Arial" w:hAnsi="Arial" w:cs="Arial"/>
          <w:sz w:val="20"/>
          <w:szCs w:val="20"/>
          <w:lang w:eastAsia="en-US"/>
        </w:rPr>
        <w:t>oklady, které m</w:t>
      </w:r>
      <w:r w:rsidRPr="007F3D2B">
        <w:rPr>
          <w:rFonts w:ascii="Arial" w:hAnsi="Arial" w:cs="Arial"/>
          <w:sz w:val="20"/>
          <w:szCs w:val="20"/>
          <w:lang w:eastAsia="en-US"/>
        </w:rPr>
        <w:t>ohou být</w:t>
      </w:r>
      <w:r w:rsidR="006E1791" w:rsidRPr="007F3D2B">
        <w:rPr>
          <w:rFonts w:ascii="Arial" w:hAnsi="Arial" w:cs="Arial"/>
          <w:sz w:val="20"/>
          <w:szCs w:val="20"/>
          <w:lang w:eastAsia="en-US"/>
        </w:rPr>
        <w:t xml:space="preserve"> zákon</w:t>
      </w:r>
      <w:r w:rsidRPr="007F3D2B">
        <w:rPr>
          <w:rFonts w:ascii="Arial" w:hAnsi="Arial" w:cs="Arial"/>
          <w:sz w:val="20"/>
          <w:szCs w:val="20"/>
          <w:lang w:eastAsia="en-US"/>
        </w:rPr>
        <w:t>em</w:t>
      </w:r>
      <w:r w:rsidR="006E1791" w:rsidRPr="007F3D2B">
        <w:rPr>
          <w:rFonts w:ascii="Arial" w:hAnsi="Arial" w:cs="Arial"/>
          <w:sz w:val="20"/>
          <w:szCs w:val="20"/>
          <w:lang w:eastAsia="en-US"/>
        </w:rPr>
        <w:t xml:space="preserve"> požadov</w:t>
      </w:r>
      <w:r w:rsidRPr="007F3D2B">
        <w:rPr>
          <w:rFonts w:ascii="Arial" w:hAnsi="Arial" w:cs="Arial"/>
          <w:sz w:val="20"/>
          <w:szCs w:val="20"/>
          <w:lang w:eastAsia="en-US"/>
        </w:rPr>
        <w:t>ány</w:t>
      </w:r>
      <w:r w:rsidR="006E1791" w:rsidRPr="007F3D2B">
        <w:rPr>
          <w:rFonts w:ascii="Arial" w:hAnsi="Arial" w:cs="Arial"/>
          <w:sz w:val="20"/>
          <w:szCs w:val="20"/>
          <w:lang w:eastAsia="en-US"/>
        </w:rPr>
        <w:t xml:space="preserve"> k prokázání ekonomické kvalifikace</w:t>
      </w:r>
      <w:r w:rsidR="006560F2" w:rsidRPr="007F3D2B">
        <w:rPr>
          <w:rFonts w:ascii="Arial" w:hAnsi="Arial" w:cs="Arial"/>
          <w:sz w:val="20"/>
          <w:szCs w:val="20"/>
          <w:lang w:eastAsia="en-US"/>
        </w:rPr>
        <w:t>,</w:t>
      </w:r>
      <w:r w:rsidR="00711C5D" w:rsidRPr="007F3D2B">
        <w:rPr>
          <w:rFonts w:ascii="Arial" w:hAnsi="Arial" w:cs="Arial"/>
          <w:sz w:val="20"/>
          <w:szCs w:val="20"/>
          <w:lang w:eastAsia="en-US"/>
        </w:rPr>
        <w:t xml:space="preserve"> lz</w:t>
      </w:r>
      <w:r w:rsidRPr="007F3D2B">
        <w:rPr>
          <w:rFonts w:ascii="Arial" w:hAnsi="Arial" w:cs="Arial"/>
          <w:sz w:val="20"/>
          <w:szCs w:val="20"/>
          <w:lang w:eastAsia="en-US"/>
        </w:rPr>
        <w:t>e považovat zejména pojistnou smlouvu, nebo doklady prokazující výši obratu.</w:t>
      </w:r>
    </w:p>
    <w:p w:rsidR="000D2E9A" w:rsidRPr="007F3D2B" w:rsidRDefault="000D2E9A" w:rsidP="007F3D2B">
      <w:pPr>
        <w:spacing w:before="120" w:line="276" w:lineRule="auto"/>
        <w:jc w:val="both"/>
        <w:rPr>
          <w:rFonts w:ascii="Arial" w:hAnsi="Arial" w:cs="Arial"/>
          <w:sz w:val="20"/>
          <w:szCs w:val="20"/>
          <w:lang w:eastAsia="en-US"/>
        </w:rPr>
      </w:pPr>
    </w:p>
    <w:p w:rsidR="000D2E9A" w:rsidRPr="007F3D2B" w:rsidRDefault="000D2E9A"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E94AC2" w:rsidRPr="007F3D2B">
        <w:rPr>
          <w:rFonts w:ascii="Arial" w:hAnsi="Arial" w:cs="Arial"/>
          <w:sz w:val="20"/>
          <w:szCs w:val="20"/>
          <w:lang w:eastAsia="en-US"/>
        </w:rPr>
        <w:t xml:space="preserve"> a přínosy</w:t>
      </w:r>
      <w:r w:rsidRPr="007F3D2B">
        <w:rPr>
          <w:rFonts w:ascii="Arial" w:hAnsi="Arial" w:cs="Arial"/>
          <w:sz w:val="20"/>
          <w:szCs w:val="20"/>
          <w:lang w:eastAsia="en-US"/>
        </w:rPr>
        <w:t>:</w:t>
      </w:r>
      <w:r w:rsidR="007908F7" w:rsidRPr="007F3D2B">
        <w:rPr>
          <w:rFonts w:ascii="Arial" w:hAnsi="Arial" w:cs="Arial"/>
          <w:sz w:val="20"/>
          <w:szCs w:val="20"/>
          <w:lang w:eastAsia="en-US"/>
        </w:rPr>
        <w:t xml:space="preserve"> </w:t>
      </w:r>
    </w:p>
    <w:p w:rsidR="000D2E9A" w:rsidRPr="007F3D2B" w:rsidRDefault="009F5C80"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Existuje možnost zneužívání i omezeného výčtu požadavků na kvalifikaci, problematické je vymezení konkrétního výčtu s ohledem na rozsáhlou šíři předmětů veřejných zakázek</w:t>
      </w:r>
      <w:r w:rsidR="006560F2" w:rsidRPr="007F3D2B">
        <w:rPr>
          <w:rFonts w:ascii="Arial" w:hAnsi="Arial" w:cs="Arial"/>
          <w:sz w:val="20"/>
          <w:szCs w:val="20"/>
          <w:lang w:eastAsia="en-US"/>
        </w:rPr>
        <w:t>.</w:t>
      </w:r>
      <w:r w:rsidR="00E94AC2" w:rsidRPr="007F3D2B">
        <w:rPr>
          <w:rFonts w:ascii="Arial" w:hAnsi="Arial" w:cs="Arial"/>
          <w:sz w:val="20"/>
          <w:szCs w:val="20"/>
          <w:lang w:eastAsia="en-US"/>
        </w:rPr>
        <w:t xml:space="preserve"> Omezením výčtu bude dosaženo také určité prevence prot</w:t>
      </w:r>
      <w:r w:rsidR="00763EF2">
        <w:rPr>
          <w:rFonts w:ascii="Arial" w:hAnsi="Arial" w:cs="Arial"/>
          <w:sz w:val="20"/>
          <w:szCs w:val="20"/>
          <w:lang w:eastAsia="en-US"/>
        </w:rPr>
        <w:t>i zneužívání či špatné aplikaci</w:t>
      </w:r>
      <w:r w:rsidR="00E94AC2" w:rsidRPr="007F3D2B">
        <w:rPr>
          <w:rFonts w:ascii="Arial" w:hAnsi="Arial" w:cs="Arial"/>
          <w:sz w:val="20"/>
          <w:szCs w:val="20"/>
          <w:lang w:eastAsia="en-US"/>
        </w:rPr>
        <w:t xml:space="preserve"> jiných ekonomických ukazatelů. </w:t>
      </w:r>
    </w:p>
    <w:p w:rsidR="009F5C80" w:rsidRPr="007F3D2B" w:rsidRDefault="009F5C80" w:rsidP="007F3D2B">
      <w:pPr>
        <w:spacing w:before="120" w:line="276" w:lineRule="auto"/>
        <w:jc w:val="both"/>
        <w:rPr>
          <w:rFonts w:ascii="Arial" w:hAnsi="Arial" w:cs="Arial"/>
          <w:sz w:val="20"/>
          <w:szCs w:val="20"/>
          <w:lang w:eastAsia="en-US"/>
        </w:rPr>
      </w:pPr>
    </w:p>
    <w:p w:rsidR="000D2E9A" w:rsidRPr="007F3D2B" w:rsidRDefault="004D03C7"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 xml:space="preserve">Varianta </w:t>
      </w:r>
      <w:r w:rsidR="00E63D84" w:rsidRPr="007F3D2B">
        <w:rPr>
          <w:rFonts w:ascii="Arial" w:hAnsi="Arial" w:cs="Arial"/>
          <w:b/>
          <w:sz w:val="20"/>
          <w:szCs w:val="20"/>
          <w:lang w:eastAsia="en-US"/>
        </w:rPr>
        <w:t>4</w:t>
      </w:r>
      <w:r w:rsidRPr="007F3D2B">
        <w:rPr>
          <w:rFonts w:ascii="Arial" w:hAnsi="Arial" w:cs="Arial"/>
          <w:b/>
          <w:sz w:val="20"/>
          <w:szCs w:val="20"/>
          <w:lang w:eastAsia="en-US"/>
        </w:rPr>
        <w:t xml:space="preserve"> –</w:t>
      </w:r>
      <w:r w:rsidR="00DD3D78" w:rsidRPr="007F3D2B">
        <w:rPr>
          <w:rFonts w:ascii="Arial" w:hAnsi="Arial" w:cs="Arial"/>
          <w:b/>
          <w:sz w:val="20"/>
          <w:szCs w:val="20"/>
          <w:lang w:eastAsia="en-US"/>
        </w:rPr>
        <w:t xml:space="preserve"> ekonomickou kvalifikaci umožnit</w:t>
      </w:r>
      <w:r w:rsidR="00763EF2">
        <w:rPr>
          <w:rFonts w:ascii="Arial" w:hAnsi="Arial" w:cs="Arial"/>
          <w:b/>
          <w:sz w:val="20"/>
          <w:szCs w:val="20"/>
          <w:lang w:eastAsia="en-US"/>
        </w:rPr>
        <w:t>,</w:t>
      </w:r>
      <w:r w:rsidR="00DD3D78" w:rsidRPr="007F3D2B">
        <w:rPr>
          <w:rFonts w:ascii="Arial" w:hAnsi="Arial" w:cs="Arial"/>
          <w:b/>
          <w:sz w:val="20"/>
          <w:szCs w:val="20"/>
          <w:lang w:eastAsia="en-US"/>
        </w:rPr>
        <w:t xml:space="preserve"> a to s</w:t>
      </w:r>
      <w:r w:rsidRPr="007F3D2B">
        <w:rPr>
          <w:rFonts w:ascii="Arial" w:hAnsi="Arial" w:cs="Arial"/>
          <w:b/>
          <w:sz w:val="20"/>
          <w:szCs w:val="20"/>
          <w:lang w:eastAsia="en-US"/>
        </w:rPr>
        <w:t xml:space="preserve"> neomezený</w:t>
      </w:r>
      <w:r w:rsidR="00DD3D78" w:rsidRPr="007F3D2B">
        <w:rPr>
          <w:rFonts w:ascii="Arial" w:hAnsi="Arial" w:cs="Arial"/>
          <w:b/>
          <w:sz w:val="20"/>
          <w:szCs w:val="20"/>
          <w:lang w:eastAsia="en-US"/>
        </w:rPr>
        <w:t>m</w:t>
      </w:r>
      <w:r w:rsidRPr="007F3D2B">
        <w:rPr>
          <w:rFonts w:ascii="Arial" w:hAnsi="Arial" w:cs="Arial"/>
          <w:b/>
          <w:sz w:val="20"/>
          <w:szCs w:val="20"/>
          <w:lang w:eastAsia="en-US"/>
        </w:rPr>
        <w:t xml:space="preserve"> výčt</w:t>
      </w:r>
      <w:r w:rsidR="00DD3D78" w:rsidRPr="007F3D2B">
        <w:rPr>
          <w:rFonts w:ascii="Arial" w:hAnsi="Arial" w:cs="Arial"/>
          <w:b/>
          <w:sz w:val="20"/>
          <w:szCs w:val="20"/>
          <w:lang w:eastAsia="en-US"/>
        </w:rPr>
        <w:t>em</w:t>
      </w:r>
      <w:r w:rsidRPr="007F3D2B">
        <w:rPr>
          <w:rFonts w:ascii="Arial" w:hAnsi="Arial" w:cs="Arial"/>
          <w:b/>
          <w:sz w:val="20"/>
          <w:szCs w:val="20"/>
          <w:lang w:eastAsia="en-US"/>
        </w:rPr>
        <w:t xml:space="preserve"> možností pro kvalifikaci</w:t>
      </w:r>
    </w:p>
    <w:p w:rsidR="000D2E9A" w:rsidRPr="007F3D2B" w:rsidRDefault="000D2E9A" w:rsidP="007F3D2B">
      <w:pPr>
        <w:spacing w:before="120" w:line="276" w:lineRule="auto"/>
        <w:jc w:val="both"/>
        <w:rPr>
          <w:rFonts w:ascii="Arial" w:hAnsi="Arial" w:cs="Arial"/>
          <w:sz w:val="20"/>
          <w:szCs w:val="20"/>
          <w:lang w:eastAsia="en-US"/>
        </w:rPr>
      </w:pPr>
    </w:p>
    <w:p w:rsidR="000D2E9A" w:rsidRPr="007F3D2B" w:rsidRDefault="000D2E9A"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711C5D" w:rsidRPr="007F3D2B" w:rsidRDefault="00711C5D"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Ponechat na uvážení zadavatele, jaké doklady bude požadovat k prokázání ekonomické kvalifikace.</w:t>
      </w:r>
      <w:r w:rsidR="00DD3D78" w:rsidRPr="007F3D2B">
        <w:rPr>
          <w:rFonts w:ascii="Arial" w:hAnsi="Arial" w:cs="Arial"/>
          <w:sz w:val="20"/>
          <w:szCs w:val="20"/>
          <w:lang w:eastAsia="en-US"/>
        </w:rPr>
        <w:t xml:space="preserve"> Umožnit tedy výběr a kombinaci ekonomických ukazatelů v závislosti na předmětu a složitosti konkrétní veřejné zakázky. </w:t>
      </w:r>
    </w:p>
    <w:p w:rsidR="00711C5D" w:rsidRPr="007F3D2B" w:rsidRDefault="00711C5D" w:rsidP="007F3D2B">
      <w:pPr>
        <w:spacing w:before="120" w:line="276" w:lineRule="auto"/>
        <w:jc w:val="both"/>
        <w:rPr>
          <w:rFonts w:ascii="Arial" w:hAnsi="Arial" w:cs="Arial"/>
          <w:sz w:val="20"/>
          <w:szCs w:val="20"/>
          <w:lang w:eastAsia="en-US"/>
        </w:rPr>
      </w:pPr>
    </w:p>
    <w:p w:rsidR="000D2E9A" w:rsidRPr="007F3D2B" w:rsidRDefault="000D2E9A"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FB50A1" w:rsidRPr="007F3D2B">
        <w:rPr>
          <w:rFonts w:ascii="Arial" w:hAnsi="Arial" w:cs="Arial"/>
          <w:sz w:val="20"/>
          <w:szCs w:val="20"/>
          <w:lang w:eastAsia="en-US"/>
        </w:rPr>
        <w:t xml:space="preserve"> a přínosy</w:t>
      </w:r>
      <w:r w:rsidRPr="007F3D2B">
        <w:rPr>
          <w:rFonts w:ascii="Arial" w:hAnsi="Arial" w:cs="Arial"/>
          <w:sz w:val="20"/>
          <w:szCs w:val="20"/>
          <w:lang w:eastAsia="en-US"/>
        </w:rPr>
        <w:t>:</w:t>
      </w:r>
    </w:p>
    <w:p w:rsidR="000D2E9A" w:rsidRPr="007F3D2B" w:rsidRDefault="00B525DE"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 této varianty plyne riziko nadužívání ekonomické kvalifikace a riziko, že budou zadavatel</w:t>
      </w:r>
      <w:r w:rsidR="00645F4A" w:rsidRPr="007F3D2B">
        <w:rPr>
          <w:rFonts w:ascii="Arial" w:hAnsi="Arial" w:cs="Arial"/>
          <w:sz w:val="20"/>
          <w:szCs w:val="20"/>
          <w:lang w:eastAsia="en-US"/>
        </w:rPr>
        <w:t>é</w:t>
      </w:r>
      <w:r w:rsidRPr="007F3D2B">
        <w:rPr>
          <w:rFonts w:ascii="Arial" w:hAnsi="Arial" w:cs="Arial"/>
          <w:sz w:val="20"/>
          <w:szCs w:val="20"/>
          <w:lang w:eastAsia="en-US"/>
        </w:rPr>
        <w:t xml:space="preserve"> požadovat také prokázání skutečností, které nemají žádný vliv na plnění zakázky. Je zde tedy riziko, že</w:t>
      </w:r>
      <w:r w:rsidR="00711C5D" w:rsidRPr="007F3D2B">
        <w:rPr>
          <w:rFonts w:ascii="Arial" w:hAnsi="Arial" w:cs="Arial"/>
          <w:sz w:val="20"/>
          <w:szCs w:val="20"/>
          <w:lang w:eastAsia="en-US"/>
        </w:rPr>
        <w:t xml:space="preserve"> požadavky zadavatelů </w:t>
      </w:r>
      <w:r w:rsidRPr="007F3D2B">
        <w:rPr>
          <w:rFonts w:ascii="Arial" w:hAnsi="Arial" w:cs="Arial"/>
          <w:sz w:val="20"/>
          <w:szCs w:val="20"/>
          <w:lang w:eastAsia="en-US"/>
        </w:rPr>
        <w:t xml:space="preserve">budou </w:t>
      </w:r>
      <w:r w:rsidR="00711C5D" w:rsidRPr="007F3D2B">
        <w:rPr>
          <w:rFonts w:ascii="Arial" w:hAnsi="Arial" w:cs="Arial"/>
          <w:sz w:val="20"/>
          <w:szCs w:val="20"/>
          <w:lang w:eastAsia="en-US"/>
        </w:rPr>
        <w:t xml:space="preserve">v rozporu se zásadami. </w:t>
      </w:r>
      <w:r w:rsidR="00DD3D78" w:rsidRPr="007F3D2B">
        <w:rPr>
          <w:rFonts w:ascii="Arial" w:hAnsi="Arial" w:cs="Arial"/>
          <w:sz w:val="20"/>
          <w:szCs w:val="20"/>
          <w:lang w:eastAsia="en-US"/>
        </w:rPr>
        <w:t xml:space="preserve">Dále také tato varianta klade vyšší nároky na odbornost zadavatele a je zde riziko, že ekonomická kritéria a způsob jejich prokazování budou, </w:t>
      </w:r>
      <w:r w:rsidR="00DD3D78" w:rsidRPr="007F3D2B">
        <w:rPr>
          <w:rFonts w:ascii="Arial" w:hAnsi="Arial" w:cs="Arial"/>
          <w:sz w:val="20"/>
          <w:szCs w:val="20"/>
          <w:lang w:eastAsia="en-US"/>
        </w:rPr>
        <w:lastRenderedPageBreak/>
        <w:t xml:space="preserve">z důvodu neznalosti problematiky související s jednotlivými ekonomickými instituty, nastavena nevhodně. </w:t>
      </w:r>
      <w:r w:rsidR="00FB50A1" w:rsidRPr="007F3D2B">
        <w:rPr>
          <w:rFonts w:ascii="Arial" w:hAnsi="Arial" w:cs="Arial"/>
          <w:sz w:val="20"/>
          <w:szCs w:val="20"/>
          <w:lang w:eastAsia="en-US"/>
        </w:rPr>
        <w:t xml:space="preserve">Varianta umožní nastavit kvalifikaci tak, aby veřejnou zakázku získali pouze ekonomicky silní a stabilní dodavatelé. </w:t>
      </w:r>
    </w:p>
    <w:p w:rsidR="00711C5D" w:rsidRPr="007F3D2B" w:rsidRDefault="00711C5D" w:rsidP="007F3D2B">
      <w:pPr>
        <w:spacing w:before="120" w:line="276" w:lineRule="auto"/>
        <w:jc w:val="both"/>
        <w:rPr>
          <w:rFonts w:ascii="Arial" w:hAnsi="Arial" w:cs="Arial"/>
          <w:sz w:val="20"/>
          <w:szCs w:val="20"/>
          <w:lang w:eastAsia="en-US"/>
        </w:rPr>
      </w:pPr>
    </w:p>
    <w:p w:rsidR="00763EF2" w:rsidRDefault="000D2E9A"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Závěr:</w:t>
      </w:r>
    </w:p>
    <w:p w:rsidR="000D2E9A" w:rsidRPr="007F3D2B" w:rsidRDefault="00B525DE"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Předkladatel doporučuje přijetí varianty</w:t>
      </w:r>
      <w:r w:rsidR="005A27F7" w:rsidRPr="007F3D2B">
        <w:rPr>
          <w:rFonts w:ascii="Arial" w:hAnsi="Arial" w:cs="Arial"/>
          <w:sz w:val="20"/>
          <w:szCs w:val="20"/>
          <w:lang w:eastAsia="en-US"/>
        </w:rPr>
        <w:t xml:space="preserve"> 3</w:t>
      </w:r>
      <w:r w:rsidR="00A703A2" w:rsidRPr="007F3D2B">
        <w:rPr>
          <w:rFonts w:ascii="Arial" w:hAnsi="Arial" w:cs="Arial"/>
          <w:sz w:val="20"/>
          <w:szCs w:val="20"/>
          <w:lang w:eastAsia="en-US"/>
        </w:rPr>
        <w:t>, výběr konkrétních požadavků nechává zatím otevřený a bude stanoven v závislosti na výsle</w:t>
      </w:r>
      <w:r w:rsidR="00F11E6F" w:rsidRPr="007F3D2B">
        <w:rPr>
          <w:rFonts w:ascii="Arial" w:hAnsi="Arial" w:cs="Arial"/>
          <w:sz w:val="20"/>
          <w:szCs w:val="20"/>
          <w:lang w:eastAsia="en-US"/>
        </w:rPr>
        <w:t>d</w:t>
      </w:r>
      <w:r w:rsidR="00A703A2" w:rsidRPr="007F3D2B">
        <w:rPr>
          <w:rFonts w:ascii="Arial" w:hAnsi="Arial" w:cs="Arial"/>
          <w:sz w:val="20"/>
          <w:szCs w:val="20"/>
          <w:lang w:eastAsia="en-US"/>
        </w:rPr>
        <w:t>cích připomínkového řízení, případně konkretizován při přípravě NZVZ</w:t>
      </w:r>
      <w:r w:rsidR="00227530">
        <w:rPr>
          <w:rFonts w:ascii="Arial" w:hAnsi="Arial" w:cs="Arial"/>
          <w:sz w:val="20"/>
          <w:szCs w:val="20"/>
          <w:lang w:eastAsia="en-US"/>
        </w:rPr>
        <w:t>.</w:t>
      </w:r>
      <w:r w:rsidR="00A703A2" w:rsidRPr="007F3D2B">
        <w:rPr>
          <w:rFonts w:ascii="Arial" w:hAnsi="Arial" w:cs="Arial"/>
          <w:sz w:val="20"/>
          <w:szCs w:val="20"/>
          <w:lang w:eastAsia="en-US"/>
        </w:rPr>
        <w:t xml:space="preserve"> Předkladatel zvolil tuto variantu, neboť považuje za úč</w:t>
      </w:r>
      <w:r w:rsidR="00227530">
        <w:rPr>
          <w:rFonts w:ascii="Arial" w:hAnsi="Arial" w:cs="Arial"/>
          <w:sz w:val="20"/>
          <w:szCs w:val="20"/>
          <w:lang w:eastAsia="en-US"/>
        </w:rPr>
        <w:t>elné</w:t>
      </w:r>
      <w:r w:rsidR="00A703A2" w:rsidRPr="007F3D2B">
        <w:rPr>
          <w:rFonts w:ascii="Arial" w:hAnsi="Arial" w:cs="Arial"/>
          <w:sz w:val="20"/>
          <w:szCs w:val="20"/>
          <w:lang w:eastAsia="en-US"/>
        </w:rPr>
        <w:t xml:space="preserve"> umožnit zadavateli ověření ekonomické a finanční způsobilosti budoucího dodavatele plnění, a to i přes výše uvedená rizika. </w:t>
      </w:r>
    </w:p>
    <w:p w:rsidR="00711C5D" w:rsidRDefault="00711C5D" w:rsidP="007F3D2B">
      <w:pPr>
        <w:spacing w:before="120" w:line="276" w:lineRule="auto"/>
        <w:jc w:val="both"/>
        <w:rPr>
          <w:rFonts w:ascii="Arial" w:hAnsi="Arial" w:cs="Arial"/>
          <w:sz w:val="20"/>
          <w:szCs w:val="20"/>
          <w:lang w:eastAsia="en-US"/>
        </w:rPr>
      </w:pPr>
    </w:p>
    <w:p w:rsidR="0087442C" w:rsidRPr="007F3D2B" w:rsidRDefault="0087442C" w:rsidP="007F3D2B">
      <w:pPr>
        <w:spacing w:before="120" w:line="276" w:lineRule="auto"/>
        <w:jc w:val="both"/>
        <w:rPr>
          <w:rFonts w:ascii="Arial" w:hAnsi="Arial" w:cs="Arial"/>
          <w:sz w:val="20"/>
          <w:szCs w:val="20"/>
          <w:lang w:eastAsia="en-US"/>
        </w:rPr>
      </w:pPr>
    </w:p>
    <w:p w:rsidR="0082409C" w:rsidRPr="007F3D2B" w:rsidRDefault="007F6D85"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G</w:t>
      </w:r>
      <w:r w:rsidR="00196A0B" w:rsidRPr="007F3D2B">
        <w:rPr>
          <w:rFonts w:ascii="Arial" w:hAnsi="Arial" w:cs="Arial"/>
          <w:b/>
          <w:sz w:val="20"/>
          <w:szCs w:val="20"/>
          <w:lang w:eastAsia="en-US"/>
        </w:rPr>
        <w:t>.</w:t>
      </w:r>
      <w:r w:rsidRPr="007F3D2B">
        <w:rPr>
          <w:rFonts w:ascii="Arial" w:hAnsi="Arial" w:cs="Arial"/>
          <w:b/>
          <w:sz w:val="20"/>
          <w:szCs w:val="20"/>
          <w:lang w:eastAsia="en-US"/>
        </w:rPr>
        <w:t xml:space="preserve"> </w:t>
      </w:r>
      <w:r w:rsidR="004D03C7" w:rsidRPr="007F3D2B">
        <w:rPr>
          <w:rFonts w:ascii="Arial" w:hAnsi="Arial" w:cs="Arial"/>
          <w:b/>
          <w:sz w:val="20"/>
          <w:szCs w:val="20"/>
          <w:lang w:eastAsia="en-US"/>
        </w:rPr>
        <w:t>Mimořádně nízká nabídková cena</w:t>
      </w:r>
    </w:p>
    <w:p w:rsidR="00DF38E0" w:rsidRPr="007F3D2B" w:rsidRDefault="00DF38E0" w:rsidP="007F3D2B">
      <w:pPr>
        <w:spacing w:before="120" w:line="276" w:lineRule="auto"/>
        <w:jc w:val="both"/>
        <w:rPr>
          <w:rFonts w:ascii="Arial" w:hAnsi="Arial" w:cs="Arial"/>
          <w:sz w:val="20"/>
          <w:szCs w:val="20"/>
          <w:lang w:eastAsia="en-US"/>
        </w:rPr>
      </w:pPr>
    </w:p>
    <w:p w:rsidR="006D1FB7" w:rsidRPr="007F3D2B" w:rsidRDefault="006D1FB7"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Varianta 1 – nulová varianta</w:t>
      </w:r>
    </w:p>
    <w:p w:rsidR="006D1FB7" w:rsidRPr="007F3D2B" w:rsidRDefault="006D1FB7" w:rsidP="007F3D2B">
      <w:pPr>
        <w:spacing w:before="120" w:line="276" w:lineRule="auto"/>
        <w:jc w:val="both"/>
        <w:rPr>
          <w:rFonts w:ascii="Arial" w:hAnsi="Arial" w:cs="Arial"/>
          <w:sz w:val="20"/>
          <w:szCs w:val="20"/>
          <w:lang w:eastAsia="en-US"/>
        </w:rPr>
      </w:pPr>
    </w:p>
    <w:p w:rsidR="006D1FB7" w:rsidRPr="007F3D2B" w:rsidRDefault="006D1FB7"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6D1FB7" w:rsidRPr="007F3D2B" w:rsidRDefault="006D1FB7"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Zachování současného stavu upraveného dle stávající právní úpravy</w:t>
      </w:r>
      <w:r w:rsidR="00196A0B" w:rsidRPr="007F3D2B">
        <w:rPr>
          <w:rFonts w:ascii="Arial" w:hAnsi="Arial" w:cs="Arial"/>
          <w:sz w:val="20"/>
          <w:szCs w:val="20"/>
          <w:lang w:eastAsia="en-US"/>
        </w:rPr>
        <w:t>.</w:t>
      </w:r>
      <w:r w:rsidR="000F30CC" w:rsidRPr="007F3D2B">
        <w:rPr>
          <w:rFonts w:ascii="Arial" w:hAnsi="Arial" w:cs="Arial"/>
          <w:sz w:val="20"/>
          <w:szCs w:val="20"/>
          <w:lang w:eastAsia="en-US"/>
        </w:rPr>
        <w:t xml:space="preserve"> Zachování povinnosti </w:t>
      </w:r>
      <w:r w:rsidR="00466694" w:rsidRPr="007F3D2B">
        <w:rPr>
          <w:rFonts w:ascii="Arial" w:hAnsi="Arial" w:cs="Arial"/>
          <w:sz w:val="20"/>
          <w:szCs w:val="20"/>
          <w:lang w:eastAsia="en-US"/>
        </w:rPr>
        <w:t xml:space="preserve">hodnotící komise posoudit výši nabídkových cen ve vztahu k předmětu veřejné zakázky a v případě, že nabídka mimořádně nízkou nabídku obsahuje, zachování povinnosti vyzvat uchazeče k jejímu zdůvodnění. </w:t>
      </w:r>
    </w:p>
    <w:p w:rsidR="006D1FB7" w:rsidRPr="007F3D2B" w:rsidRDefault="006D1FB7" w:rsidP="007F3D2B">
      <w:pPr>
        <w:spacing w:before="120" w:line="276" w:lineRule="auto"/>
        <w:jc w:val="both"/>
        <w:rPr>
          <w:rFonts w:ascii="Arial" w:hAnsi="Arial" w:cs="Arial"/>
          <w:sz w:val="20"/>
          <w:szCs w:val="20"/>
          <w:lang w:eastAsia="en-US"/>
        </w:rPr>
      </w:pPr>
    </w:p>
    <w:p w:rsidR="006D1FB7" w:rsidRPr="007F3D2B" w:rsidRDefault="006D1FB7"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466694" w:rsidRPr="007F3D2B">
        <w:rPr>
          <w:rFonts w:ascii="Arial" w:hAnsi="Arial" w:cs="Arial"/>
          <w:sz w:val="20"/>
          <w:szCs w:val="20"/>
          <w:lang w:eastAsia="en-US"/>
        </w:rPr>
        <w:t xml:space="preserve"> a přínosy</w:t>
      </w:r>
      <w:r w:rsidRPr="007F3D2B">
        <w:rPr>
          <w:rFonts w:ascii="Arial" w:hAnsi="Arial" w:cs="Arial"/>
          <w:sz w:val="20"/>
          <w:szCs w:val="20"/>
          <w:lang w:eastAsia="en-US"/>
        </w:rPr>
        <w:t>:</w:t>
      </w:r>
    </w:p>
    <w:p w:rsidR="008C6CE7" w:rsidRPr="007F3D2B" w:rsidRDefault="008C6CE7"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Je zde riziko, že zadavatelé nebudou schopni správně identifikovat mimořádně nízkou na</w:t>
      </w:r>
      <w:r w:rsidR="007908F7" w:rsidRPr="007F3D2B">
        <w:rPr>
          <w:rFonts w:ascii="Arial" w:hAnsi="Arial" w:cs="Arial"/>
          <w:sz w:val="20"/>
          <w:szCs w:val="20"/>
          <w:lang w:eastAsia="en-US"/>
        </w:rPr>
        <w:t xml:space="preserve">bídkovou cenu a aplikovat tento </w:t>
      </w:r>
      <w:r w:rsidRPr="007F3D2B">
        <w:rPr>
          <w:rFonts w:ascii="Arial" w:hAnsi="Arial" w:cs="Arial"/>
          <w:sz w:val="20"/>
          <w:szCs w:val="20"/>
          <w:lang w:eastAsia="en-US"/>
        </w:rPr>
        <w:t xml:space="preserve">institut. </w:t>
      </w:r>
      <w:r w:rsidR="00466694" w:rsidRPr="007F3D2B">
        <w:rPr>
          <w:rFonts w:ascii="Arial" w:hAnsi="Arial" w:cs="Arial"/>
          <w:sz w:val="20"/>
          <w:szCs w:val="20"/>
          <w:lang w:eastAsia="en-US"/>
        </w:rPr>
        <w:t xml:space="preserve">Posouzení nabídkových cen a odhalení mimořádně nízké nabídkové ceny vyžaduje nejen podrobnou znalost předmětu, ale také hlubokou znalost trhu s požadovaným plněním. </w:t>
      </w:r>
      <w:r w:rsidRPr="007F3D2B">
        <w:rPr>
          <w:rFonts w:ascii="Arial" w:hAnsi="Arial" w:cs="Arial"/>
          <w:sz w:val="20"/>
          <w:szCs w:val="20"/>
          <w:lang w:eastAsia="en-US"/>
        </w:rPr>
        <w:t xml:space="preserve">Na druhou stranu, nebude-li předem stanoven vzorec, bude moci zadavatel flexibilněji reagovat ve vztahu ke konkrétní veřejné zakázce. </w:t>
      </w:r>
    </w:p>
    <w:p w:rsidR="006D1FB7" w:rsidRPr="007F3D2B" w:rsidRDefault="006D1FB7" w:rsidP="007F3D2B">
      <w:pPr>
        <w:spacing w:before="120" w:line="276" w:lineRule="auto"/>
        <w:jc w:val="both"/>
        <w:rPr>
          <w:rFonts w:ascii="Arial" w:hAnsi="Arial" w:cs="Arial"/>
          <w:sz w:val="20"/>
          <w:szCs w:val="20"/>
          <w:lang w:eastAsia="en-US"/>
        </w:rPr>
      </w:pPr>
    </w:p>
    <w:p w:rsidR="006D1FB7" w:rsidRPr="007F3D2B" w:rsidRDefault="006D1FB7"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 xml:space="preserve">Varianta 2 – vzorec </w:t>
      </w:r>
    </w:p>
    <w:p w:rsidR="006D1FB7" w:rsidRPr="007F3D2B" w:rsidRDefault="006D1FB7" w:rsidP="007F3D2B">
      <w:pPr>
        <w:spacing w:before="120" w:line="276" w:lineRule="auto"/>
        <w:jc w:val="both"/>
        <w:rPr>
          <w:rFonts w:ascii="Arial" w:hAnsi="Arial" w:cs="Arial"/>
          <w:b/>
          <w:sz w:val="20"/>
          <w:szCs w:val="20"/>
          <w:lang w:eastAsia="en-US"/>
        </w:rPr>
      </w:pPr>
    </w:p>
    <w:p w:rsidR="006D1FB7" w:rsidRPr="007F3D2B" w:rsidRDefault="008D64A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6D1FB7" w:rsidRPr="007F3D2B" w:rsidRDefault="00E07637"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Zakotvení </w:t>
      </w:r>
      <w:r w:rsidR="00A52E70" w:rsidRPr="007F3D2B">
        <w:rPr>
          <w:rFonts w:ascii="Arial" w:hAnsi="Arial" w:cs="Arial"/>
          <w:sz w:val="20"/>
          <w:szCs w:val="20"/>
          <w:lang w:eastAsia="en-US"/>
        </w:rPr>
        <w:t>vzorce</w:t>
      </w:r>
      <w:r w:rsidR="004D03C7" w:rsidRPr="007F3D2B">
        <w:rPr>
          <w:rFonts w:ascii="Arial" w:hAnsi="Arial" w:cs="Arial"/>
          <w:sz w:val="20"/>
          <w:szCs w:val="20"/>
          <w:lang w:eastAsia="en-US"/>
        </w:rPr>
        <w:t xml:space="preserve"> pro stanovení</w:t>
      </w:r>
      <w:r w:rsidR="00A52E70" w:rsidRPr="007F3D2B">
        <w:rPr>
          <w:rFonts w:ascii="Arial" w:hAnsi="Arial" w:cs="Arial"/>
          <w:sz w:val="20"/>
          <w:szCs w:val="20"/>
          <w:lang w:eastAsia="en-US"/>
        </w:rPr>
        <w:t xml:space="preserve"> mimořádně nízké nabídkové ceny</w:t>
      </w:r>
      <w:r w:rsidR="004D03C7" w:rsidRPr="007F3D2B">
        <w:rPr>
          <w:rFonts w:ascii="Arial" w:hAnsi="Arial" w:cs="Arial"/>
          <w:sz w:val="20"/>
          <w:szCs w:val="20"/>
          <w:lang w:eastAsia="en-US"/>
        </w:rPr>
        <w:t xml:space="preserve"> a zároveň ponechání možnosti individuálního posouzení</w:t>
      </w:r>
      <w:r w:rsidR="00A52E70" w:rsidRPr="007F3D2B">
        <w:rPr>
          <w:rFonts w:ascii="Arial" w:hAnsi="Arial" w:cs="Arial"/>
          <w:sz w:val="20"/>
          <w:szCs w:val="20"/>
          <w:lang w:eastAsia="en-US"/>
        </w:rPr>
        <w:t>.</w:t>
      </w:r>
      <w:r w:rsidR="006D1FB7" w:rsidRPr="007F3D2B">
        <w:rPr>
          <w:rFonts w:ascii="Arial" w:hAnsi="Arial" w:cs="Arial"/>
          <w:sz w:val="20"/>
          <w:szCs w:val="20"/>
        </w:rPr>
        <w:t xml:space="preserve"> </w:t>
      </w:r>
      <w:r w:rsidR="002210E2" w:rsidRPr="007F3D2B">
        <w:rPr>
          <w:rFonts w:ascii="Arial" w:hAnsi="Arial" w:cs="Arial"/>
          <w:sz w:val="20"/>
          <w:szCs w:val="20"/>
        </w:rPr>
        <w:t>Zadavatel se tedy před zahájením zadávacího řízení rozhodne, zda bude aplikovat vzorce, které však bude povinen uvést v zadávací dokumentaci, či zda bude nabídky posuzovat individuálně ve vztahu k předmětu veřejné zakázky.</w:t>
      </w:r>
    </w:p>
    <w:p w:rsidR="006D1FB7" w:rsidRPr="007F3D2B" w:rsidRDefault="006D1FB7" w:rsidP="007F3D2B">
      <w:pPr>
        <w:spacing w:before="120" w:line="276" w:lineRule="auto"/>
        <w:jc w:val="both"/>
        <w:rPr>
          <w:rFonts w:ascii="Arial" w:hAnsi="Arial" w:cs="Arial"/>
          <w:sz w:val="20"/>
          <w:szCs w:val="20"/>
          <w:lang w:eastAsia="en-US"/>
        </w:rPr>
      </w:pPr>
    </w:p>
    <w:p w:rsidR="00227530" w:rsidRDefault="006D1FB7"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p>
    <w:p w:rsidR="006D1FB7" w:rsidRPr="007F3D2B" w:rsidRDefault="00620DC7"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U</w:t>
      </w:r>
      <w:r w:rsidR="007908F7" w:rsidRPr="007F3D2B">
        <w:rPr>
          <w:rFonts w:ascii="Arial" w:hAnsi="Arial" w:cs="Arial"/>
          <w:sz w:val="20"/>
          <w:szCs w:val="20"/>
          <w:lang w:eastAsia="en-US"/>
        </w:rPr>
        <w:t>možňuje flexibilní aplikaci předmětného institutu a</w:t>
      </w:r>
      <w:r w:rsidRPr="007F3D2B">
        <w:rPr>
          <w:rFonts w:ascii="Arial" w:hAnsi="Arial" w:cs="Arial"/>
          <w:sz w:val="20"/>
          <w:szCs w:val="20"/>
          <w:lang w:eastAsia="en-US"/>
        </w:rPr>
        <w:t xml:space="preserve"> zárove</w:t>
      </w:r>
      <w:r w:rsidR="002210E2" w:rsidRPr="007F3D2B">
        <w:rPr>
          <w:rFonts w:ascii="Arial" w:hAnsi="Arial" w:cs="Arial"/>
          <w:sz w:val="20"/>
          <w:szCs w:val="20"/>
          <w:lang w:eastAsia="en-US"/>
        </w:rPr>
        <w:t>ň</w:t>
      </w:r>
      <w:r w:rsidR="007908F7" w:rsidRPr="007F3D2B">
        <w:rPr>
          <w:rFonts w:ascii="Arial" w:hAnsi="Arial" w:cs="Arial"/>
          <w:sz w:val="20"/>
          <w:szCs w:val="20"/>
          <w:lang w:eastAsia="en-US"/>
        </w:rPr>
        <w:t xml:space="preserve"> dává zadavatelům možnost využít </w:t>
      </w:r>
      <w:r w:rsidR="002210E2" w:rsidRPr="007F3D2B">
        <w:rPr>
          <w:rFonts w:ascii="Arial" w:hAnsi="Arial" w:cs="Arial"/>
          <w:sz w:val="20"/>
          <w:szCs w:val="20"/>
          <w:lang w:eastAsia="en-US"/>
        </w:rPr>
        <w:t xml:space="preserve">stanovení </w:t>
      </w:r>
      <w:r w:rsidR="007908F7" w:rsidRPr="007F3D2B">
        <w:rPr>
          <w:rFonts w:ascii="Arial" w:hAnsi="Arial" w:cs="Arial"/>
          <w:sz w:val="20"/>
          <w:szCs w:val="20"/>
          <w:lang w:eastAsia="en-US"/>
        </w:rPr>
        <w:t>vzorců, stejně tak jako jejich nevyužití tak</w:t>
      </w:r>
      <w:r w:rsidR="00227530">
        <w:rPr>
          <w:rFonts w:ascii="Arial" w:hAnsi="Arial" w:cs="Arial"/>
          <w:sz w:val="20"/>
          <w:szCs w:val="20"/>
          <w:lang w:eastAsia="en-US"/>
        </w:rPr>
        <w:t>,</w:t>
      </w:r>
      <w:r w:rsidR="007908F7" w:rsidRPr="007F3D2B">
        <w:rPr>
          <w:rFonts w:ascii="Arial" w:hAnsi="Arial" w:cs="Arial"/>
          <w:sz w:val="20"/>
          <w:szCs w:val="20"/>
          <w:lang w:eastAsia="en-US"/>
        </w:rPr>
        <w:t xml:space="preserve"> jak tomu bylo v současné právní úpravě. </w:t>
      </w:r>
    </w:p>
    <w:p w:rsidR="006D1FB7" w:rsidRDefault="006D1FB7" w:rsidP="007F3D2B">
      <w:pPr>
        <w:spacing w:before="120" w:line="276" w:lineRule="auto"/>
        <w:jc w:val="both"/>
        <w:rPr>
          <w:rFonts w:ascii="Arial" w:hAnsi="Arial" w:cs="Arial"/>
          <w:sz w:val="20"/>
          <w:szCs w:val="20"/>
          <w:lang w:eastAsia="en-US"/>
        </w:rPr>
      </w:pPr>
    </w:p>
    <w:p w:rsidR="0087442C" w:rsidRDefault="0087442C" w:rsidP="007F3D2B">
      <w:pPr>
        <w:spacing w:before="120" w:line="276" w:lineRule="auto"/>
        <w:jc w:val="both"/>
        <w:rPr>
          <w:rFonts w:ascii="Arial" w:hAnsi="Arial" w:cs="Arial"/>
          <w:sz w:val="20"/>
          <w:szCs w:val="20"/>
          <w:lang w:eastAsia="en-US"/>
        </w:rPr>
      </w:pPr>
    </w:p>
    <w:p w:rsidR="0087442C" w:rsidRPr="007F3D2B" w:rsidRDefault="0087442C" w:rsidP="007F3D2B">
      <w:pPr>
        <w:spacing w:before="120" w:line="276" w:lineRule="auto"/>
        <w:jc w:val="both"/>
        <w:rPr>
          <w:rFonts w:ascii="Arial" w:hAnsi="Arial" w:cs="Arial"/>
          <w:sz w:val="20"/>
          <w:szCs w:val="20"/>
          <w:lang w:eastAsia="en-US"/>
        </w:rPr>
      </w:pPr>
    </w:p>
    <w:p w:rsidR="00227530" w:rsidRDefault="006D1FB7"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lastRenderedPageBreak/>
        <w:t>Závěr:</w:t>
      </w:r>
    </w:p>
    <w:p w:rsidR="006D1FB7" w:rsidRPr="007F3D2B" w:rsidRDefault="007908F7"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Předkla</w:t>
      </w:r>
      <w:r w:rsidR="009F5C80" w:rsidRPr="007F3D2B">
        <w:rPr>
          <w:rFonts w:ascii="Arial" w:hAnsi="Arial" w:cs="Arial"/>
          <w:sz w:val="20"/>
          <w:szCs w:val="20"/>
          <w:lang w:eastAsia="en-US"/>
        </w:rPr>
        <w:t>datel doporučuje variantu</w:t>
      </w:r>
      <w:r w:rsidR="00620DC7" w:rsidRPr="007F3D2B">
        <w:rPr>
          <w:rFonts w:ascii="Arial" w:hAnsi="Arial" w:cs="Arial"/>
          <w:sz w:val="20"/>
          <w:szCs w:val="20"/>
          <w:lang w:eastAsia="en-US"/>
        </w:rPr>
        <w:t xml:space="preserve"> 1, tedy zachování současného stavu, který umožňuje flexibilní reakci zadavatele ve vztahu ke konkrétní veřejné zakázce a okolnostem, za kterých je zadávána. </w:t>
      </w:r>
    </w:p>
    <w:p w:rsidR="00DF38E0" w:rsidRDefault="00DF38E0" w:rsidP="007F3D2B">
      <w:pPr>
        <w:spacing w:before="120" w:line="276" w:lineRule="auto"/>
        <w:jc w:val="both"/>
        <w:rPr>
          <w:rFonts w:ascii="Arial" w:hAnsi="Arial" w:cs="Arial"/>
          <w:sz w:val="20"/>
          <w:szCs w:val="20"/>
          <w:lang w:eastAsia="en-US"/>
        </w:rPr>
      </w:pPr>
    </w:p>
    <w:p w:rsidR="0087442C" w:rsidRPr="007F3D2B" w:rsidRDefault="0087442C" w:rsidP="007F3D2B">
      <w:pPr>
        <w:spacing w:before="120" w:line="276" w:lineRule="auto"/>
        <w:jc w:val="both"/>
        <w:rPr>
          <w:rFonts w:ascii="Arial" w:hAnsi="Arial" w:cs="Arial"/>
          <w:sz w:val="20"/>
          <w:szCs w:val="20"/>
          <w:lang w:eastAsia="en-US"/>
        </w:rPr>
      </w:pPr>
    </w:p>
    <w:p w:rsidR="00B807A5" w:rsidRPr="007F3D2B" w:rsidRDefault="007F6D85" w:rsidP="007F3D2B">
      <w:pPr>
        <w:spacing w:before="120" w:line="276" w:lineRule="auto"/>
        <w:jc w:val="both"/>
        <w:rPr>
          <w:rFonts w:ascii="Arial" w:hAnsi="Arial" w:cs="Arial"/>
          <w:b/>
          <w:color w:val="000000"/>
          <w:sz w:val="20"/>
          <w:szCs w:val="20"/>
          <w:shd w:val="clear" w:color="auto" w:fill="FFFFFF"/>
        </w:rPr>
      </w:pPr>
      <w:r w:rsidRPr="007F3D2B">
        <w:rPr>
          <w:rFonts w:ascii="Arial" w:hAnsi="Arial" w:cs="Arial"/>
          <w:b/>
          <w:color w:val="000000"/>
          <w:sz w:val="20"/>
          <w:szCs w:val="20"/>
          <w:shd w:val="clear" w:color="auto" w:fill="FFFFFF"/>
        </w:rPr>
        <w:t>H</w:t>
      </w:r>
      <w:r w:rsidR="00E07637" w:rsidRPr="007F3D2B">
        <w:rPr>
          <w:rFonts w:ascii="Arial" w:hAnsi="Arial" w:cs="Arial"/>
          <w:b/>
          <w:color w:val="000000"/>
          <w:sz w:val="20"/>
          <w:szCs w:val="20"/>
          <w:shd w:val="clear" w:color="auto" w:fill="FFFFFF"/>
        </w:rPr>
        <w:t>.</w:t>
      </w:r>
      <w:r w:rsidRPr="007F3D2B">
        <w:rPr>
          <w:rFonts w:ascii="Arial" w:hAnsi="Arial" w:cs="Arial"/>
          <w:b/>
          <w:color w:val="000000"/>
          <w:sz w:val="20"/>
          <w:szCs w:val="20"/>
          <w:shd w:val="clear" w:color="auto" w:fill="FFFFFF"/>
        </w:rPr>
        <w:t xml:space="preserve"> </w:t>
      </w:r>
      <w:r w:rsidR="00227E12" w:rsidRPr="007F3D2B">
        <w:rPr>
          <w:rFonts w:ascii="Arial" w:hAnsi="Arial" w:cs="Arial"/>
          <w:b/>
          <w:color w:val="000000"/>
          <w:sz w:val="20"/>
          <w:szCs w:val="20"/>
          <w:shd w:val="clear" w:color="auto" w:fill="FFFFFF"/>
        </w:rPr>
        <w:t>Dodatečné stavební práce, služby a dodávky</w:t>
      </w:r>
    </w:p>
    <w:p w:rsidR="00227E12" w:rsidRPr="007F3D2B" w:rsidRDefault="00227E12" w:rsidP="007F3D2B">
      <w:pPr>
        <w:spacing w:before="120" w:line="276" w:lineRule="auto"/>
        <w:jc w:val="both"/>
        <w:rPr>
          <w:rFonts w:ascii="Arial" w:hAnsi="Arial" w:cs="Arial"/>
          <w:b/>
          <w:color w:val="000000"/>
          <w:sz w:val="20"/>
          <w:szCs w:val="20"/>
          <w:shd w:val="clear" w:color="auto" w:fill="FFFFFF"/>
        </w:rPr>
      </w:pPr>
    </w:p>
    <w:p w:rsidR="00227E12" w:rsidRPr="007F3D2B" w:rsidRDefault="00227E12"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Varianta 1 – nulová varianta</w:t>
      </w:r>
    </w:p>
    <w:p w:rsidR="00227E12" w:rsidRPr="007F3D2B" w:rsidRDefault="00227E12" w:rsidP="007F3D2B">
      <w:pPr>
        <w:spacing w:before="120" w:line="276" w:lineRule="auto"/>
        <w:jc w:val="both"/>
        <w:rPr>
          <w:rFonts w:ascii="Arial" w:hAnsi="Arial" w:cs="Arial"/>
          <w:sz w:val="20"/>
          <w:szCs w:val="20"/>
          <w:lang w:eastAsia="en-US"/>
        </w:rPr>
      </w:pPr>
    </w:p>
    <w:p w:rsidR="00227E12" w:rsidRPr="007F3D2B" w:rsidRDefault="00227E1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227E12" w:rsidRPr="007F3D2B" w:rsidRDefault="00227E1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Zachování současného stavu upraveného dle stávající právní úpravy</w:t>
      </w:r>
      <w:r w:rsidR="00BA3DE3" w:rsidRPr="007F3D2B">
        <w:rPr>
          <w:rFonts w:ascii="Arial" w:hAnsi="Arial" w:cs="Arial"/>
          <w:sz w:val="20"/>
          <w:szCs w:val="20"/>
          <w:lang w:eastAsia="en-US"/>
        </w:rPr>
        <w:t xml:space="preserve"> – dle ustanovení § 23 odst. 7 ZVZ je možné dodatečné stavební práce, služby či dodávky zadat pouze za splnění velmi přísných podmínek, a dodatečně zadané stavebné práce, dodávky či služby nesmí svojí hodnotou přesáhnout 20</w:t>
      </w:r>
      <w:r w:rsidR="00227530">
        <w:rPr>
          <w:rFonts w:ascii="Arial" w:hAnsi="Arial" w:cs="Arial"/>
          <w:sz w:val="20"/>
          <w:szCs w:val="20"/>
          <w:lang w:eastAsia="en-US"/>
        </w:rPr>
        <w:t xml:space="preserve"> </w:t>
      </w:r>
      <w:r w:rsidR="00BA3DE3" w:rsidRPr="007F3D2B">
        <w:rPr>
          <w:rFonts w:ascii="Arial" w:hAnsi="Arial" w:cs="Arial"/>
          <w:sz w:val="20"/>
          <w:szCs w:val="20"/>
          <w:lang w:eastAsia="en-US"/>
        </w:rPr>
        <w:t xml:space="preserve">% hodnoty původní veřejné zakázky. </w:t>
      </w:r>
    </w:p>
    <w:p w:rsidR="00227E12" w:rsidRPr="007F3D2B" w:rsidRDefault="00227E12" w:rsidP="007F3D2B">
      <w:pPr>
        <w:spacing w:before="120" w:line="276" w:lineRule="auto"/>
        <w:jc w:val="both"/>
        <w:rPr>
          <w:rFonts w:ascii="Arial" w:hAnsi="Arial" w:cs="Arial"/>
          <w:sz w:val="20"/>
          <w:szCs w:val="20"/>
          <w:lang w:eastAsia="en-US"/>
        </w:rPr>
      </w:pPr>
    </w:p>
    <w:p w:rsidR="00227E12" w:rsidRPr="007F3D2B" w:rsidRDefault="00227E1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6101F2" w:rsidRPr="007F3D2B">
        <w:rPr>
          <w:rFonts w:ascii="Arial" w:hAnsi="Arial" w:cs="Arial"/>
          <w:sz w:val="20"/>
          <w:szCs w:val="20"/>
          <w:lang w:eastAsia="en-US"/>
        </w:rPr>
        <w:t xml:space="preserve"> a přínosy</w:t>
      </w:r>
      <w:r w:rsidRPr="007F3D2B">
        <w:rPr>
          <w:rFonts w:ascii="Arial" w:hAnsi="Arial" w:cs="Arial"/>
          <w:sz w:val="20"/>
          <w:szCs w:val="20"/>
          <w:lang w:eastAsia="en-US"/>
        </w:rPr>
        <w:t>:</w:t>
      </w:r>
    </w:p>
    <w:p w:rsidR="00227E12" w:rsidRPr="007F3D2B" w:rsidRDefault="009F5C80"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Zachování nepružnosti a rigidnosti výkladu pravidel spojen</w:t>
      </w:r>
      <w:r w:rsidR="00E07637" w:rsidRPr="007F3D2B">
        <w:rPr>
          <w:rFonts w:ascii="Arial" w:hAnsi="Arial" w:cs="Arial"/>
          <w:sz w:val="20"/>
          <w:szCs w:val="20"/>
          <w:lang w:eastAsia="en-US"/>
        </w:rPr>
        <w:t>ých</w:t>
      </w:r>
      <w:r w:rsidRPr="007F3D2B">
        <w:rPr>
          <w:rFonts w:ascii="Arial" w:hAnsi="Arial" w:cs="Arial"/>
          <w:sz w:val="20"/>
          <w:szCs w:val="20"/>
          <w:lang w:eastAsia="en-US"/>
        </w:rPr>
        <w:t xml:space="preserve"> s nízkou flexibilitou u stavebních zakázek.</w:t>
      </w:r>
      <w:r w:rsidR="006101F2" w:rsidRPr="007F3D2B">
        <w:rPr>
          <w:rFonts w:ascii="Arial" w:hAnsi="Arial" w:cs="Arial"/>
          <w:sz w:val="20"/>
          <w:szCs w:val="20"/>
          <w:lang w:eastAsia="en-US"/>
        </w:rPr>
        <w:t xml:space="preserve"> Předkladatel neshledává žádné přínosy této varianty.</w:t>
      </w:r>
    </w:p>
    <w:p w:rsidR="009F5C80" w:rsidRPr="007F3D2B" w:rsidRDefault="009F5C80" w:rsidP="007F3D2B">
      <w:pPr>
        <w:spacing w:before="120" w:line="276" w:lineRule="auto"/>
        <w:jc w:val="both"/>
        <w:rPr>
          <w:rFonts w:ascii="Arial" w:hAnsi="Arial" w:cs="Arial"/>
          <w:sz w:val="20"/>
          <w:szCs w:val="20"/>
          <w:lang w:eastAsia="en-US"/>
        </w:rPr>
      </w:pPr>
    </w:p>
    <w:p w:rsidR="00356F8D" w:rsidRPr="007F3D2B" w:rsidRDefault="00227E12"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 xml:space="preserve">Varianta 2 – </w:t>
      </w:r>
      <w:r w:rsidR="00356F8D" w:rsidRPr="007F3D2B">
        <w:rPr>
          <w:rFonts w:ascii="Arial" w:hAnsi="Arial" w:cs="Arial"/>
          <w:b/>
          <w:sz w:val="20"/>
          <w:szCs w:val="20"/>
          <w:lang w:eastAsia="en-US"/>
        </w:rPr>
        <w:t>limit 50 % bez možnosti opakování</w:t>
      </w:r>
    </w:p>
    <w:p w:rsidR="00356F8D" w:rsidRPr="007F3D2B" w:rsidRDefault="00356F8D" w:rsidP="007F3D2B">
      <w:pPr>
        <w:spacing w:before="120" w:line="276" w:lineRule="auto"/>
        <w:jc w:val="both"/>
        <w:rPr>
          <w:rFonts w:ascii="Arial" w:hAnsi="Arial" w:cs="Arial"/>
          <w:b/>
          <w:sz w:val="20"/>
          <w:szCs w:val="20"/>
          <w:lang w:eastAsia="en-US"/>
        </w:rPr>
      </w:pPr>
    </w:p>
    <w:p w:rsidR="00227E12" w:rsidRPr="007F3D2B" w:rsidRDefault="008D64A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9F5C80" w:rsidRPr="007F3D2B" w:rsidRDefault="009F5C80"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Zákon umožní využít celý limit, který stanovuje směrnice</w:t>
      </w:r>
      <w:r w:rsidR="00C60352" w:rsidRPr="007F3D2B">
        <w:rPr>
          <w:rFonts w:ascii="Arial" w:hAnsi="Arial" w:cs="Arial"/>
          <w:sz w:val="20"/>
          <w:szCs w:val="20"/>
          <w:lang w:eastAsia="en-US"/>
        </w:rPr>
        <w:t>, tedy 50</w:t>
      </w:r>
      <w:r w:rsidR="00227530">
        <w:rPr>
          <w:rFonts w:ascii="Arial" w:hAnsi="Arial" w:cs="Arial"/>
          <w:sz w:val="20"/>
          <w:szCs w:val="20"/>
          <w:lang w:eastAsia="en-US"/>
        </w:rPr>
        <w:t xml:space="preserve"> </w:t>
      </w:r>
      <w:r w:rsidR="00C60352" w:rsidRPr="007F3D2B">
        <w:rPr>
          <w:rFonts w:ascii="Arial" w:hAnsi="Arial" w:cs="Arial"/>
          <w:sz w:val="20"/>
          <w:szCs w:val="20"/>
          <w:lang w:eastAsia="en-US"/>
        </w:rPr>
        <w:t>%</w:t>
      </w:r>
      <w:r w:rsidR="00227530">
        <w:rPr>
          <w:rFonts w:ascii="Arial" w:hAnsi="Arial" w:cs="Arial"/>
          <w:sz w:val="20"/>
          <w:szCs w:val="20"/>
          <w:lang w:eastAsia="en-US"/>
        </w:rPr>
        <w:t>,</w:t>
      </w:r>
      <w:r w:rsidR="00C60352" w:rsidRPr="007F3D2B">
        <w:rPr>
          <w:rFonts w:ascii="Arial" w:hAnsi="Arial" w:cs="Arial"/>
          <w:sz w:val="20"/>
          <w:szCs w:val="20"/>
          <w:lang w:eastAsia="en-US"/>
        </w:rPr>
        <w:t xml:space="preserve"> a</w:t>
      </w:r>
      <w:r w:rsidRPr="007F3D2B">
        <w:rPr>
          <w:rFonts w:ascii="Arial" w:hAnsi="Arial" w:cs="Arial"/>
          <w:sz w:val="20"/>
          <w:szCs w:val="20"/>
          <w:lang w:eastAsia="en-US"/>
        </w:rPr>
        <w:t xml:space="preserve"> zároveň je omezeno několikeré opakování, které by znamenalo neomezenou možnost zadavatele soustavně zadávat da</w:t>
      </w:r>
      <w:r w:rsidR="007F3D2B" w:rsidRPr="007F3D2B">
        <w:rPr>
          <w:rFonts w:ascii="Arial" w:hAnsi="Arial" w:cs="Arial"/>
          <w:sz w:val="20"/>
          <w:szCs w:val="20"/>
          <w:lang w:eastAsia="en-US"/>
        </w:rPr>
        <w:t>lší vícepráce. Důvody pro zadává</w:t>
      </w:r>
      <w:r w:rsidRPr="007F3D2B">
        <w:rPr>
          <w:rFonts w:ascii="Arial" w:hAnsi="Arial" w:cs="Arial"/>
          <w:sz w:val="20"/>
          <w:szCs w:val="20"/>
          <w:lang w:eastAsia="en-US"/>
        </w:rPr>
        <w:t>ní dodatečných stavebních prací a služeb odpovídají výčtu ve směrnici.</w:t>
      </w:r>
    </w:p>
    <w:p w:rsidR="00356F8D" w:rsidRPr="007F3D2B" w:rsidRDefault="00356F8D" w:rsidP="007F3D2B">
      <w:pPr>
        <w:spacing w:before="120" w:line="276" w:lineRule="auto"/>
        <w:jc w:val="both"/>
        <w:rPr>
          <w:rFonts w:ascii="Arial" w:hAnsi="Arial" w:cs="Arial"/>
          <w:b/>
          <w:sz w:val="20"/>
          <w:szCs w:val="20"/>
          <w:lang w:eastAsia="en-US"/>
        </w:rPr>
      </w:pPr>
    </w:p>
    <w:p w:rsidR="00227E12" w:rsidRPr="007F3D2B" w:rsidRDefault="00227E1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C60352" w:rsidRPr="007F3D2B">
        <w:rPr>
          <w:rFonts w:ascii="Arial" w:hAnsi="Arial" w:cs="Arial"/>
          <w:sz w:val="20"/>
          <w:szCs w:val="20"/>
          <w:lang w:eastAsia="en-US"/>
        </w:rPr>
        <w:t xml:space="preserve"> a přínosy</w:t>
      </w:r>
      <w:r w:rsidRPr="007F3D2B">
        <w:rPr>
          <w:rFonts w:ascii="Arial" w:hAnsi="Arial" w:cs="Arial"/>
          <w:sz w:val="20"/>
          <w:szCs w:val="20"/>
          <w:lang w:eastAsia="en-US"/>
        </w:rPr>
        <w:t>:</w:t>
      </w:r>
    </w:p>
    <w:p w:rsidR="009F5C80" w:rsidRPr="007F3D2B" w:rsidRDefault="009F5C80"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Rozšíření limitu z 20 % na 50 % hypoteticky znamená, že dodavatelé budou úmyslně snižovat cenu v nabídce s tím, že mají možnost ji pak navýšit prostřednictvím víceprací.</w:t>
      </w:r>
      <w:r w:rsidR="00C60352" w:rsidRPr="007F3D2B">
        <w:rPr>
          <w:rFonts w:ascii="Arial" w:hAnsi="Arial" w:cs="Arial"/>
          <w:sz w:val="20"/>
          <w:szCs w:val="20"/>
          <w:lang w:eastAsia="en-US"/>
        </w:rPr>
        <w:t xml:space="preserve"> Zadavatel, který má znalost předmětu veřejné zakázky, by však měl být schopen odhalit takto sníženou cenu a případně pak během plnění nepřipustit její navyšování.</w:t>
      </w:r>
      <w:r w:rsidR="004E1FD6" w:rsidRPr="007F3D2B">
        <w:rPr>
          <w:rFonts w:ascii="Arial" w:hAnsi="Arial" w:cs="Arial"/>
          <w:sz w:val="20"/>
          <w:szCs w:val="20"/>
          <w:lang w:eastAsia="en-US"/>
        </w:rPr>
        <w:t xml:space="preserve"> Nadále jsou dány poměrně přísné podmínky, které je nutné naplnit, bude-li chtít zadavatel dodatečné plnění požadovat. </w:t>
      </w:r>
      <w:r w:rsidR="00C60352" w:rsidRPr="007F3D2B">
        <w:rPr>
          <w:rFonts w:ascii="Arial" w:hAnsi="Arial" w:cs="Arial"/>
          <w:sz w:val="20"/>
          <w:szCs w:val="20"/>
          <w:lang w:eastAsia="en-US"/>
        </w:rPr>
        <w:t>Přínosem této varianty je pak větší flexibilita zadavatelů.</w:t>
      </w:r>
      <w:r w:rsidR="004E1FD6" w:rsidRPr="007F3D2B">
        <w:rPr>
          <w:rFonts w:ascii="Arial" w:hAnsi="Arial" w:cs="Arial"/>
          <w:sz w:val="20"/>
          <w:szCs w:val="20"/>
          <w:lang w:eastAsia="en-US"/>
        </w:rPr>
        <w:t xml:space="preserve"> </w:t>
      </w:r>
    </w:p>
    <w:p w:rsidR="00356F8D" w:rsidRPr="007F3D2B" w:rsidRDefault="00356F8D" w:rsidP="007F3D2B">
      <w:pPr>
        <w:spacing w:before="120" w:line="276" w:lineRule="auto"/>
        <w:jc w:val="both"/>
        <w:rPr>
          <w:rFonts w:ascii="Arial" w:hAnsi="Arial" w:cs="Arial"/>
          <w:b/>
          <w:color w:val="000000"/>
          <w:sz w:val="20"/>
          <w:szCs w:val="20"/>
          <w:shd w:val="clear" w:color="auto" w:fill="FFFFFF"/>
        </w:rPr>
      </w:pPr>
    </w:p>
    <w:p w:rsidR="00356F8D" w:rsidRPr="007F3D2B" w:rsidRDefault="00356F8D" w:rsidP="007F3D2B">
      <w:pPr>
        <w:spacing w:before="120" w:line="276" w:lineRule="auto"/>
        <w:jc w:val="both"/>
        <w:rPr>
          <w:rFonts w:ascii="Arial" w:hAnsi="Arial" w:cs="Arial"/>
          <w:b/>
          <w:color w:val="000000"/>
          <w:sz w:val="20"/>
          <w:szCs w:val="20"/>
          <w:shd w:val="clear" w:color="auto" w:fill="FFFFFF"/>
        </w:rPr>
      </w:pPr>
      <w:r w:rsidRPr="007F3D2B">
        <w:rPr>
          <w:rFonts w:ascii="Arial" w:hAnsi="Arial" w:cs="Arial"/>
          <w:b/>
          <w:color w:val="000000"/>
          <w:sz w:val="20"/>
          <w:szCs w:val="20"/>
          <w:shd w:val="clear" w:color="auto" w:fill="FFFFFF"/>
        </w:rPr>
        <w:t>Varianta 3 – limit 50</w:t>
      </w:r>
      <w:r w:rsidR="0031604A" w:rsidRPr="007F3D2B">
        <w:rPr>
          <w:rFonts w:ascii="Arial" w:hAnsi="Arial" w:cs="Arial"/>
          <w:b/>
          <w:color w:val="000000"/>
          <w:sz w:val="20"/>
          <w:szCs w:val="20"/>
          <w:shd w:val="clear" w:color="auto" w:fill="FFFFFF"/>
        </w:rPr>
        <w:t xml:space="preserve"> </w:t>
      </w:r>
      <w:r w:rsidRPr="007F3D2B">
        <w:rPr>
          <w:rFonts w:ascii="Arial" w:hAnsi="Arial" w:cs="Arial"/>
          <w:b/>
          <w:color w:val="000000"/>
          <w:sz w:val="20"/>
          <w:szCs w:val="20"/>
          <w:shd w:val="clear" w:color="auto" w:fill="FFFFFF"/>
        </w:rPr>
        <w:t>% s možností opakování</w:t>
      </w:r>
    </w:p>
    <w:p w:rsidR="00356F8D" w:rsidRPr="007F3D2B" w:rsidRDefault="00356F8D" w:rsidP="007F3D2B">
      <w:pPr>
        <w:spacing w:before="120" w:line="276" w:lineRule="auto"/>
        <w:jc w:val="both"/>
        <w:rPr>
          <w:rFonts w:ascii="Arial" w:hAnsi="Arial" w:cs="Arial"/>
          <w:b/>
          <w:color w:val="000000"/>
          <w:sz w:val="20"/>
          <w:szCs w:val="20"/>
          <w:shd w:val="clear" w:color="auto" w:fill="FFFFFF"/>
        </w:rPr>
      </w:pPr>
    </w:p>
    <w:p w:rsidR="00356F8D" w:rsidRPr="007F3D2B" w:rsidRDefault="008D64A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356F8D" w:rsidRPr="007F3D2B" w:rsidRDefault="00037B7C"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Možnost zadávat opakovaně s tím, že každá jednotlivá změna by nesměla přesáhnout 50 % a počet takových změn není omezen</w:t>
      </w:r>
      <w:r w:rsidR="0031604A" w:rsidRPr="007F3D2B">
        <w:rPr>
          <w:rFonts w:ascii="Arial" w:hAnsi="Arial" w:cs="Arial"/>
          <w:sz w:val="20"/>
          <w:szCs w:val="20"/>
          <w:lang w:eastAsia="en-US"/>
        </w:rPr>
        <w:t>.</w:t>
      </w:r>
    </w:p>
    <w:p w:rsidR="00037B7C" w:rsidRPr="007F3D2B" w:rsidRDefault="00037B7C" w:rsidP="007F3D2B">
      <w:pPr>
        <w:spacing w:before="120" w:line="276" w:lineRule="auto"/>
        <w:jc w:val="both"/>
        <w:rPr>
          <w:rFonts w:ascii="Arial" w:hAnsi="Arial" w:cs="Arial"/>
          <w:sz w:val="20"/>
          <w:szCs w:val="20"/>
          <w:lang w:eastAsia="en-US"/>
        </w:rPr>
      </w:pPr>
    </w:p>
    <w:p w:rsidR="00356F8D" w:rsidRPr="007F3D2B" w:rsidRDefault="00356F8D"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lastRenderedPageBreak/>
        <w:t>Rizika:</w:t>
      </w:r>
    </w:p>
    <w:p w:rsidR="00356F8D" w:rsidRPr="007F3D2B" w:rsidRDefault="00037B7C"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Nadměrná benevolence pro zadavatele přináší široký korupční prostor a možnost spekulací dodavatele s nabídkovou cenou</w:t>
      </w:r>
      <w:r w:rsidR="0031604A" w:rsidRPr="007F3D2B">
        <w:rPr>
          <w:rFonts w:ascii="Arial" w:hAnsi="Arial" w:cs="Arial"/>
          <w:sz w:val="20"/>
          <w:szCs w:val="20"/>
          <w:lang w:eastAsia="en-US"/>
        </w:rPr>
        <w:t>.</w:t>
      </w:r>
      <w:r w:rsidR="00C60352" w:rsidRPr="007F3D2B">
        <w:rPr>
          <w:rFonts w:ascii="Arial" w:hAnsi="Arial" w:cs="Arial"/>
          <w:sz w:val="20"/>
          <w:szCs w:val="20"/>
          <w:lang w:eastAsia="en-US"/>
        </w:rPr>
        <w:t xml:space="preserve"> </w:t>
      </w:r>
    </w:p>
    <w:p w:rsidR="00037B7C" w:rsidRPr="007F3D2B" w:rsidRDefault="00037B7C" w:rsidP="007F3D2B">
      <w:pPr>
        <w:spacing w:before="120" w:line="276" w:lineRule="auto"/>
        <w:jc w:val="both"/>
        <w:rPr>
          <w:rFonts w:ascii="Arial" w:hAnsi="Arial" w:cs="Arial"/>
          <w:b/>
          <w:color w:val="000000"/>
          <w:sz w:val="20"/>
          <w:szCs w:val="20"/>
          <w:shd w:val="clear" w:color="auto" w:fill="FFFFFF"/>
        </w:rPr>
      </w:pPr>
    </w:p>
    <w:p w:rsidR="00356F8D" w:rsidRPr="007F3D2B" w:rsidRDefault="00356F8D" w:rsidP="007F3D2B">
      <w:pPr>
        <w:spacing w:before="120" w:line="276" w:lineRule="auto"/>
        <w:jc w:val="both"/>
        <w:rPr>
          <w:rFonts w:ascii="Arial" w:hAnsi="Arial" w:cs="Arial"/>
          <w:b/>
          <w:color w:val="000000"/>
          <w:sz w:val="20"/>
          <w:szCs w:val="20"/>
          <w:shd w:val="clear" w:color="auto" w:fill="FFFFFF"/>
        </w:rPr>
      </w:pPr>
      <w:r w:rsidRPr="007F3D2B">
        <w:rPr>
          <w:rFonts w:ascii="Arial" w:hAnsi="Arial" w:cs="Arial"/>
          <w:b/>
          <w:color w:val="000000"/>
          <w:sz w:val="20"/>
          <w:szCs w:val="20"/>
          <w:shd w:val="clear" w:color="auto" w:fill="FFFFFF"/>
        </w:rPr>
        <w:t>Varianta 4 – snížení limitu pod 50</w:t>
      </w:r>
      <w:r w:rsidR="0031604A" w:rsidRPr="007F3D2B">
        <w:rPr>
          <w:rFonts w:ascii="Arial" w:hAnsi="Arial" w:cs="Arial"/>
          <w:b/>
          <w:color w:val="000000"/>
          <w:sz w:val="20"/>
          <w:szCs w:val="20"/>
          <w:shd w:val="clear" w:color="auto" w:fill="FFFFFF"/>
        </w:rPr>
        <w:t xml:space="preserve"> </w:t>
      </w:r>
      <w:r w:rsidRPr="007F3D2B">
        <w:rPr>
          <w:rFonts w:ascii="Arial" w:hAnsi="Arial" w:cs="Arial"/>
          <w:b/>
          <w:color w:val="000000"/>
          <w:sz w:val="20"/>
          <w:szCs w:val="20"/>
          <w:shd w:val="clear" w:color="auto" w:fill="FFFFFF"/>
        </w:rPr>
        <w:t>% a následný postup dle variant 2 a 3</w:t>
      </w:r>
    </w:p>
    <w:p w:rsidR="00356F8D" w:rsidRPr="007F3D2B" w:rsidRDefault="00356F8D" w:rsidP="007F3D2B">
      <w:pPr>
        <w:spacing w:before="120" w:line="276" w:lineRule="auto"/>
        <w:jc w:val="both"/>
        <w:rPr>
          <w:rFonts w:ascii="Arial" w:hAnsi="Arial" w:cs="Arial"/>
          <w:b/>
          <w:color w:val="000000"/>
          <w:sz w:val="20"/>
          <w:szCs w:val="20"/>
          <w:shd w:val="clear" w:color="auto" w:fill="FFFFFF"/>
        </w:rPr>
      </w:pPr>
    </w:p>
    <w:p w:rsidR="00356F8D" w:rsidRPr="007F3D2B" w:rsidRDefault="00356F8D"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r w:rsidR="006229A9" w:rsidRPr="007F3D2B">
        <w:rPr>
          <w:rFonts w:ascii="Arial" w:hAnsi="Arial" w:cs="Arial"/>
          <w:sz w:val="20"/>
          <w:szCs w:val="20"/>
          <w:lang w:eastAsia="en-US"/>
        </w:rPr>
        <w:t xml:space="preserve"> Směrnice umožňuje stanovit jakýkoliv limit pod 50</w:t>
      </w:r>
      <w:r w:rsidR="00512EBC" w:rsidRPr="007F3D2B">
        <w:rPr>
          <w:rFonts w:ascii="Arial" w:hAnsi="Arial" w:cs="Arial"/>
          <w:sz w:val="20"/>
          <w:szCs w:val="20"/>
          <w:lang w:eastAsia="en-US"/>
        </w:rPr>
        <w:t xml:space="preserve"> </w:t>
      </w:r>
      <w:r w:rsidR="006229A9" w:rsidRPr="007F3D2B">
        <w:rPr>
          <w:rFonts w:ascii="Arial" w:hAnsi="Arial" w:cs="Arial"/>
          <w:sz w:val="20"/>
          <w:szCs w:val="20"/>
          <w:lang w:eastAsia="en-US"/>
        </w:rPr>
        <w:t>%. I v takovém případě jsou umožněny variant</w:t>
      </w:r>
      <w:r w:rsidR="00C60352" w:rsidRPr="007F3D2B">
        <w:rPr>
          <w:rFonts w:ascii="Arial" w:hAnsi="Arial" w:cs="Arial"/>
          <w:sz w:val="20"/>
          <w:szCs w:val="20"/>
          <w:lang w:eastAsia="en-US"/>
        </w:rPr>
        <w:t>y</w:t>
      </w:r>
      <w:r w:rsidR="006229A9" w:rsidRPr="007F3D2B">
        <w:rPr>
          <w:rFonts w:ascii="Arial" w:hAnsi="Arial" w:cs="Arial"/>
          <w:sz w:val="20"/>
          <w:szCs w:val="20"/>
          <w:lang w:eastAsia="en-US"/>
        </w:rPr>
        <w:t xml:space="preserve"> 2 a 3.</w:t>
      </w:r>
    </w:p>
    <w:p w:rsidR="00356F8D" w:rsidRPr="007F3D2B" w:rsidRDefault="00356F8D" w:rsidP="007F3D2B">
      <w:pPr>
        <w:spacing w:before="120" w:line="276" w:lineRule="auto"/>
        <w:jc w:val="both"/>
        <w:rPr>
          <w:rFonts w:ascii="Arial" w:hAnsi="Arial" w:cs="Arial"/>
          <w:b/>
          <w:sz w:val="20"/>
          <w:szCs w:val="20"/>
          <w:lang w:eastAsia="en-US"/>
        </w:rPr>
      </w:pPr>
    </w:p>
    <w:p w:rsidR="00356F8D" w:rsidRPr="007F3D2B" w:rsidRDefault="00356F8D"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p>
    <w:p w:rsidR="00356F8D" w:rsidRPr="007F3D2B" w:rsidRDefault="00037B7C"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Přílišná rigidnost a snížení flexibility pro zadavatele</w:t>
      </w:r>
      <w:r w:rsidR="00512EBC" w:rsidRPr="007F3D2B">
        <w:rPr>
          <w:rFonts w:ascii="Arial" w:hAnsi="Arial" w:cs="Arial"/>
          <w:sz w:val="20"/>
          <w:szCs w:val="20"/>
          <w:lang w:eastAsia="en-US"/>
        </w:rPr>
        <w:t>.</w:t>
      </w:r>
    </w:p>
    <w:p w:rsidR="00037B7C" w:rsidRPr="007F3D2B" w:rsidRDefault="00037B7C" w:rsidP="007F3D2B">
      <w:pPr>
        <w:spacing w:before="120" w:line="276" w:lineRule="auto"/>
        <w:jc w:val="both"/>
        <w:rPr>
          <w:rFonts w:ascii="Arial" w:hAnsi="Arial" w:cs="Arial"/>
          <w:sz w:val="20"/>
          <w:szCs w:val="20"/>
          <w:lang w:eastAsia="en-US"/>
        </w:rPr>
      </w:pPr>
    </w:p>
    <w:p w:rsidR="00356F8D" w:rsidRPr="007F3D2B" w:rsidRDefault="00356F8D"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Závěr:</w:t>
      </w:r>
    </w:p>
    <w:p w:rsidR="00037B7C" w:rsidRPr="007F3D2B" w:rsidRDefault="00C60352"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Předkladatel doporučuje přijetí varianty 2</w:t>
      </w:r>
      <w:r w:rsidR="009C6BEB" w:rsidRPr="007F3D2B">
        <w:rPr>
          <w:rFonts w:ascii="Arial" w:hAnsi="Arial" w:cs="Arial"/>
          <w:sz w:val="20"/>
          <w:szCs w:val="20"/>
          <w:lang w:eastAsia="en-US"/>
        </w:rPr>
        <w:t>, tedy umožnit změnu až do výše 50</w:t>
      </w:r>
      <w:r w:rsidR="00227530">
        <w:rPr>
          <w:rFonts w:ascii="Arial" w:hAnsi="Arial" w:cs="Arial"/>
          <w:sz w:val="20"/>
          <w:szCs w:val="20"/>
          <w:lang w:eastAsia="en-US"/>
        </w:rPr>
        <w:t xml:space="preserve"> </w:t>
      </w:r>
      <w:r w:rsidR="009C6BEB" w:rsidRPr="007F3D2B">
        <w:rPr>
          <w:rFonts w:ascii="Arial" w:hAnsi="Arial" w:cs="Arial"/>
          <w:sz w:val="20"/>
          <w:szCs w:val="20"/>
          <w:lang w:eastAsia="en-US"/>
        </w:rPr>
        <w:t>%</w:t>
      </w:r>
      <w:r w:rsidR="00227530">
        <w:rPr>
          <w:rFonts w:ascii="Arial" w:hAnsi="Arial" w:cs="Arial"/>
          <w:sz w:val="20"/>
          <w:szCs w:val="20"/>
          <w:lang w:eastAsia="en-US"/>
        </w:rPr>
        <w:t>,</w:t>
      </w:r>
      <w:r w:rsidR="009C6BEB" w:rsidRPr="007F3D2B">
        <w:rPr>
          <w:rFonts w:ascii="Arial" w:hAnsi="Arial" w:cs="Arial"/>
          <w:sz w:val="20"/>
          <w:szCs w:val="20"/>
          <w:lang w:eastAsia="en-US"/>
        </w:rPr>
        <w:t xml:space="preserve"> avšak tato hranice by nemohla být v součtu všech dodatečných stavebních prací, dodávek či služeb překročena. Přijetím předmětné varianty bude dle předkladatele dosaženo dostatečné flexibility na straně zadavatelů a zároveň bude částečně předcházeno nepřiměřenému navyšování ceny veřejné zakázky.</w:t>
      </w:r>
    </w:p>
    <w:p w:rsidR="00037B7C" w:rsidRDefault="00037B7C" w:rsidP="007F3D2B">
      <w:pPr>
        <w:spacing w:before="120" w:line="276" w:lineRule="auto"/>
        <w:jc w:val="both"/>
        <w:rPr>
          <w:rFonts w:ascii="Arial" w:hAnsi="Arial" w:cs="Arial"/>
          <w:b/>
          <w:color w:val="000000"/>
          <w:sz w:val="20"/>
          <w:szCs w:val="20"/>
          <w:shd w:val="clear" w:color="auto" w:fill="FFFFFF"/>
        </w:rPr>
      </w:pPr>
    </w:p>
    <w:p w:rsidR="0087442C" w:rsidRPr="007F3D2B" w:rsidRDefault="0087442C" w:rsidP="007F3D2B">
      <w:pPr>
        <w:spacing w:before="120" w:line="276" w:lineRule="auto"/>
        <w:jc w:val="both"/>
        <w:rPr>
          <w:rFonts w:ascii="Arial" w:hAnsi="Arial" w:cs="Arial"/>
          <w:b/>
          <w:color w:val="000000"/>
          <w:sz w:val="20"/>
          <w:szCs w:val="20"/>
          <w:shd w:val="clear" w:color="auto" w:fill="FFFFFF"/>
        </w:rPr>
      </w:pPr>
    </w:p>
    <w:p w:rsidR="00356F8D" w:rsidRPr="007F3D2B" w:rsidRDefault="00512EBC" w:rsidP="007F3D2B">
      <w:pPr>
        <w:spacing w:before="120" w:line="276" w:lineRule="auto"/>
        <w:jc w:val="both"/>
        <w:rPr>
          <w:rFonts w:ascii="Arial" w:hAnsi="Arial" w:cs="Arial"/>
          <w:b/>
          <w:color w:val="000000"/>
          <w:sz w:val="20"/>
          <w:szCs w:val="20"/>
          <w:shd w:val="clear" w:color="auto" w:fill="FFFFFF"/>
        </w:rPr>
      </w:pPr>
      <w:r w:rsidRPr="007F3D2B">
        <w:rPr>
          <w:rFonts w:ascii="Arial" w:hAnsi="Arial" w:cs="Arial"/>
          <w:b/>
          <w:color w:val="000000"/>
          <w:sz w:val="20"/>
          <w:szCs w:val="20"/>
          <w:shd w:val="clear" w:color="auto" w:fill="FFFFFF"/>
        </w:rPr>
        <w:t xml:space="preserve">I. </w:t>
      </w:r>
      <w:r w:rsidR="00165CD1" w:rsidRPr="007F3D2B">
        <w:rPr>
          <w:rFonts w:ascii="Arial" w:hAnsi="Arial" w:cs="Arial"/>
          <w:b/>
          <w:color w:val="000000"/>
          <w:sz w:val="20"/>
          <w:szCs w:val="20"/>
          <w:shd w:val="clear" w:color="auto" w:fill="FFFFFF"/>
        </w:rPr>
        <w:t>Změna smlouvy</w:t>
      </w:r>
    </w:p>
    <w:p w:rsidR="00165CD1" w:rsidRPr="007F3D2B" w:rsidRDefault="00165CD1" w:rsidP="007F3D2B">
      <w:pPr>
        <w:spacing w:before="120" w:line="276" w:lineRule="auto"/>
        <w:jc w:val="both"/>
        <w:rPr>
          <w:rFonts w:ascii="Arial" w:hAnsi="Arial" w:cs="Arial"/>
          <w:b/>
          <w:color w:val="000000"/>
          <w:sz w:val="20"/>
          <w:szCs w:val="20"/>
          <w:shd w:val="clear" w:color="auto" w:fill="FFFFFF"/>
        </w:rPr>
      </w:pPr>
    </w:p>
    <w:p w:rsidR="00165CD1" w:rsidRPr="007F3D2B" w:rsidRDefault="00165CD1"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Varianta 1 – nulová varianta</w:t>
      </w:r>
    </w:p>
    <w:p w:rsidR="00165CD1" w:rsidRPr="007F3D2B" w:rsidRDefault="00165CD1" w:rsidP="007F3D2B">
      <w:pPr>
        <w:spacing w:before="120" w:line="276" w:lineRule="auto"/>
        <w:jc w:val="both"/>
        <w:rPr>
          <w:rFonts w:ascii="Arial" w:hAnsi="Arial" w:cs="Arial"/>
          <w:sz w:val="20"/>
          <w:szCs w:val="20"/>
          <w:lang w:eastAsia="en-US"/>
        </w:rPr>
      </w:pPr>
    </w:p>
    <w:p w:rsidR="00165CD1" w:rsidRPr="007F3D2B" w:rsidRDefault="00165CD1"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p>
    <w:p w:rsidR="00165CD1" w:rsidRPr="007F3D2B" w:rsidRDefault="00165CD1"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Zachování současného stavu upraveného dle stávající právní úpravy</w:t>
      </w:r>
      <w:r w:rsidR="00ED227B" w:rsidRPr="007F3D2B">
        <w:rPr>
          <w:rFonts w:ascii="Arial" w:hAnsi="Arial" w:cs="Arial"/>
          <w:sz w:val="20"/>
          <w:szCs w:val="20"/>
          <w:lang w:eastAsia="en-US"/>
        </w:rPr>
        <w:t xml:space="preserve"> </w:t>
      </w:r>
      <w:r w:rsidR="009C6BEB" w:rsidRPr="007F3D2B">
        <w:rPr>
          <w:rFonts w:ascii="Arial" w:hAnsi="Arial" w:cs="Arial"/>
          <w:sz w:val="20"/>
          <w:szCs w:val="20"/>
          <w:lang w:eastAsia="en-US"/>
        </w:rPr>
        <w:t xml:space="preserve">ustanovení </w:t>
      </w:r>
      <w:r w:rsidR="00ED227B" w:rsidRPr="007F3D2B">
        <w:rPr>
          <w:rFonts w:ascii="Arial" w:hAnsi="Arial" w:cs="Arial"/>
          <w:sz w:val="20"/>
          <w:szCs w:val="20"/>
          <w:lang w:eastAsia="en-US"/>
        </w:rPr>
        <w:t>§ 82 odst. 7 ZVZ</w:t>
      </w:r>
      <w:r w:rsidR="00773439" w:rsidRPr="007F3D2B">
        <w:rPr>
          <w:rFonts w:ascii="Arial" w:hAnsi="Arial" w:cs="Arial"/>
          <w:sz w:val="20"/>
          <w:szCs w:val="20"/>
          <w:lang w:eastAsia="en-US"/>
        </w:rPr>
        <w:t>, který v zásadě neumožňuje měnit smlouvu na plnění veřejné zakázky</w:t>
      </w:r>
      <w:r w:rsidR="00DE20D3" w:rsidRPr="007F3D2B">
        <w:rPr>
          <w:rFonts w:ascii="Arial" w:hAnsi="Arial" w:cs="Arial"/>
          <w:sz w:val="20"/>
          <w:szCs w:val="20"/>
          <w:lang w:eastAsia="en-US"/>
        </w:rPr>
        <w:t>,</w:t>
      </w:r>
      <w:r w:rsidR="00ED227B" w:rsidRPr="007F3D2B">
        <w:rPr>
          <w:rFonts w:ascii="Arial" w:hAnsi="Arial" w:cs="Arial"/>
          <w:sz w:val="20"/>
          <w:szCs w:val="20"/>
          <w:lang w:eastAsia="en-US"/>
        </w:rPr>
        <w:t xml:space="preserve"> resp. dovoluje pouze změny nepodstatné</w:t>
      </w:r>
      <w:r w:rsidR="00512EBC" w:rsidRPr="007F3D2B">
        <w:rPr>
          <w:rFonts w:ascii="Arial" w:hAnsi="Arial" w:cs="Arial"/>
          <w:sz w:val="20"/>
          <w:szCs w:val="20"/>
          <w:lang w:eastAsia="en-US"/>
        </w:rPr>
        <w:t>.</w:t>
      </w:r>
    </w:p>
    <w:p w:rsidR="00165CD1" w:rsidRPr="007F3D2B" w:rsidRDefault="00165CD1" w:rsidP="007F3D2B">
      <w:pPr>
        <w:spacing w:before="120" w:line="276" w:lineRule="auto"/>
        <w:jc w:val="both"/>
        <w:rPr>
          <w:rFonts w:ascii="Arial" w:hAnsi="Arial" w:cs="Arial"/>
          <w:sz w:val="20"/>
          <w:szCs w:val="20"/>
          <w:lang w:eastAsia="en-US"/>
        </w:rPr>
      </w:pPr>
    </w:p>
    <w:p w:rsidR="00165CD1" w:rsidRPr="007F3D2B" w:rsidRDefault="00165CD1"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131F01" w:rsidRPr="007F3D2B">
        <w:rPr>
          <w:rFonts w:ascii="Arial" w:hAnsi="Arial" w:cs="Arial"/>
          <w:sz w:val="20"/>
          <w:szCs w:val="20"/>
          <w:lang w:eastAsia="en-US"/>
        </w:rPr>
        <w:t xml:space="preserve"> a přínosy</w:t>
      </w:r>
      <w:r w:rsidRPr="007F3D2B">
        <w:rPr>
          <w:rFonts w:ascii="Arial" w:hAnsi="Arial" w:cs="Arial"/>
          <w:sz w:val="20"/>
          <w:szCs w:val="20"/>
          <w:lang w:eastAsia="en-US"/>
        </w:rPr>
        <w:t>:</w:t>
      </w:r>
    </w:p>
    <w:p w:rsidR="00165CD1" w:rsidRPr="007F3D2B" w:rsidRDefault="0077343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Nadměrná rigidita omezuje flexibilitu zadavatele a dodavatele</w:t>
      </w:r>
      <w:r w:rsidR="00ED227B" w:rsidRPr="007F3D2B">
        <w:rPr>
          <w:rFonts w:ascii="Arial" w:hAnsi="Arial" w:cs="Arial"/>
          <w:sz w:val="20"/>
          <w:szCs w:val="20"/>
          <w:lang w:eastAsia="en-US"/>
        </w:rPr>
        <w:t>, často vede k situaci, kdy je zadavatel nucen do nehospodárného jednání, případně k situaci, kdy zadavatel</w:t>
      </w:r>
      <w:r w:rsidR="00131F01" w:rsidRPr="007F3D2B">
        <w:rPr>
          <w:rFonts w:ascii="Arial" w:hAnsi="Arial" w:cs="Arial"/>
          <w:sz w:val="20"/>
          <w:szCs w:val="20"/>
          <w:lang w:eastAsia="en-US"/>
        </w:rPr>
        <w:t xml:space="preserve"> čelí</w:t>
      </w:r>
      <w:r w:rsidR="00ED227B" w:rsidRPr="007F3D2B">
        <w:rPr>
          <w:rFonts w:ascii="Arial" w:hAnsi="Arial" w:cs="Arial"/>
          <w:sz w:val="20"/>
          <w:szCs w:val="20"/>
          <w:lang w:eastAsia="en-US"/>
        </w:rPr>
        <w:t xml:space="preserve"> </w:t>
      </w:r>
      <w:r w:rsidR="00131F01" w:rsidRPr="007F3D2B">
        <w:rPr>
          <w:rFonts w:ascii="Arial" w:hAnsi="Arial" w:cs="Arial"/>
          <w:sz w:val="20"/>
          <w:szCs w:val="20"/>
          <w:lang w:eastAsia="en-US"/>
        </w:rPr>
        <w:t xml:space="preserve">rozhodnutí, </w:t>
      </w:r>
      <w:r w:rsidR="00ED227B" w:rsidRPr="007F3D2B">
        <w:rPr>
          <w:rFonts w:ascii="Arial" w:hAnsi="Arial" w:cs="Arial"/>
          <w:sz w:val="20"/>
          <w:szCs w:val="20"/>
          <w:lang w:eastAsia="en-US"/>
        </w:rPr>
        <w:t>zda poruší ZVZ či</w:t>
      </w:r>
      <w:r w:rsidR="00087140" w:rsidRPr="007F3D2B">
        <w:rPr>
          <w:rFonts w:ascii="Arial" w:hAnsi="Arial" w:cs="Arial"/>
          <w:sz w:val="20"/>
          <w:szCs w:val="20"/>
          <w:lang w:eastAsia="en-US"/>
        </w:rPr>
        <w:t xml:space="preserve"> poruší</w:t>
      </w:r>
      <w:r w:rsidR="00ED227B" w:rsidRPr="007F3D2B">
        <w:rPr>
          <w:rFonts w:ascii="Arial" w:hAnsi="Arial" w:cs="Arial"/>
          <w:sz w:val="20"/>
          <w:szCs w:val="20"/>
          <w:lang w:eastAsia="en-US"/>
        </w:rPr>
        <w:t xml:space="preserve"> jiný právní předpis</w:t>
      </w:r>
      <w:r w:rsidR="00227530">
        <w:rPr>
          <w:rFonts w:ascii="Arial" w:hAnsi="Arial" w:cs="Arial"/>
          <w:sz w:val="20"/>
          <w:szCs w:val="20"/>
          <w:lang w:eastAsia="en-US"/>
        </w:rPr>
        <w:t>.</w:t>
      </w:r>
      <w:r w:rsidR="00131F01" w:rsidRPr="007F3D2B">
        <w:rPr>
          <w:rFonts w:ascii="Arial" w:hAnsi="Arial" w:cs="Arial"/>
          <w:sz w:val="20"/>
          <w:szCs w:val="20"/>
          <w:lang w:eastAsia="en-US"/>
        </w:rPr>
        <w:t xml:space="preserve"> Výhodou tohoto řešení pak je, že nedovoluje rozšíření předmětu veřejné zakázky a navýšení ceny a tím neumožňuje korupční jednání spočívající v dohodě mezi zadavatelem a dodavatelem vedoucí k ne</w:t>
      </w:r>
      <w:r w:rsidR="009C6BEB" w:rsidRPr="007F3D2B">
        <w:rPr>
          <w:rFonts w:ascii="Arial" w:hAnsi="Arial" w:cs="Arial"/>
          <w:sz w:val="20"/>
          <w:szCs w:val="20"/>
          <w:lang w:eastAsia="en-US"/>
        </w:rPr>
        <w:t>odůvodněné</w:t>
      </w:r>
      <w:r w:rsidR="00131F01" w:rsidRPr="007F3D2B">
        <w:rPr>
          <w:rFonts w:ascii="Arial" w:hAnsi="Arial" w:cs="Arial"/>
          <w:sz w:val="20"/>
          <w:szCs w:val="20"/>
          <w:lang w:eastAsia="en-US"/>
        </w:rPr>
        <w:t>mu navýšení ceny.</w:t>
      </w:r>
    </w:p>
    <w:p w:rsidR="00773439" w:rsidRPr="007F3D2B" w:rsidRDefault="00773439" w:rsidP="007F3D2B">
      <w:pPr>
        <w:spacing w:before="120" w:line="276" w:lineRule="auto"/>
        <w:jc w:val="both"/>
        <w:rPr>
          <w:rFonts w:ascii="Arial" w:hAnsi="Arial" w:cs="Arial"/>
          <w:sz w:val="20"/>
          <w:szCs w:val="20"/>
          <w:lang w:eastAsia="en-US"/>
        </w:rPr>
      </w:pPr>
    </w:p>
    <w:p w:rsidR="00165CD1" w:rsidRPr="007F3D2B" w:rsidRDefault="00165CD1"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Varianta 2 – limit 10 % a 15</w:t>
      </w:r>
      <w:r w:rsidR="00512EBC" w:rsidRPr="007F3D2B">
        <w:rPr>
          <w:rFonts w:ascii="Arial" w:hAnsi="Arial" w:cs="Arial"/>
          <w:b/>
          <w:sz w:val="20"/>
          <w:szCs w:val="20"/>
          <w:lang w:eastAsia="en-US"/>
        </w:rPr>
        <w:t xml:space="preserve"> </w:t>
      </w:r>
      <w:r w:rsidRPr="007F3D2B">
        <w:rPr>
          <w:rFonts w:ascii="Arial" w:hAnsi="Arial" w:cs="Arial"/>
          <w:b/>
          <w:sz w:val="20"/>
          <w:szCs w:val="20"/>
          <w:lang w:eastAsia="en-US"/>
        </w:rPr>
        <w:t>% směrnice</w:t>
      </w:r>
      <w:r w:rsidR="00D30EA2" w:rsidRPr="007F3D2B">
        <w:rPr>
          <w:rFonts w:ascii="Arial" w:hAnsi="Arial" w:cs="Arial"/>
          <w:b/>
          <w:sz w:val="20"/>
          <w:szCs w:val="20"/>
          <w:lang w:eastAsia="en-US"/>
        </w:rPr>
        <w:t xml:space="preserve"> </w:t>
      </w:r>
    </w:p>
    <w:p w:rsidR="00165CD1" w:rsidRPr="007F3D2B" w:rsidRDefault="00165CD1" w:rsidP="007F3D2B">
      <w:pPr>
        <w:spacing w:before="120" w:line="276" w:lineRule="auto"/>
        <w:jc w:val="both"/>
        <w:rPr>
          <w:rFonts w:ascii="Arial" w:hAnsi="Arial" w:cs="Arial"/>
          <w:b/>
          <w:sz w:val="20"/>
          <w:szCs w:val="20"/>
          <w:lang w:eastAsia="en-US"/>
        </w:rPr>
      </w:pPr>
    </w:p>
    <w:p w:rsidR="00206AD1" w:rsidRPr="007F3D2B" w:rsidRDefault="008D64A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Podvarianta a) umožnit změnu bez zkoumání důvodů</w:t>
      </w:r>
    </w:p>
    <w:p w:rsidR="00206AD1" w:rsidRPr="007F3D2B" w:rsidRDefault="00206AD1" w:rsidP="007F3D2B">
      <w:pPr>
        <w:spacing w:before="120" w:line="276" w:lineRule="auto"/>
        <w:jc w:val="both"/>
        <w:rPr>
          <w:rFonts w:ascii="Arial" w:hAnsi="Arial" w:cs="Arial"/>
          <w:b/>
          <w:sz w:val="20"/>
          <w:szCs w:val="20"/>
          <w:lang w:eastAsia="en-US"/>
        </w:rPr>
      </w:pPr>
    </w:p>
    <w:p w:rsidR="00512EBC" w:rsidRPr="007F3D2B" w:rsidRDefault="008D64A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r w:rsidR="00165CD1" w:rsidRPr="007F3D2B">
        <w:rPr>
          <w:rFonts w:ascii="Arial" w:hAnsi="Arial" w:cs="Arial"/>
          <w:sz w:val="20"/>
          <w:szCs w:val="20"/>
          <w:lang w:eastAsia="en-US"/>
        </w:rPr>
        <w:t>:</w:t>
      </w:r>
      <w:r w:rsidR="00206AD1" w:rsidRPr="007F3D2B">
        <w:rPr>
          <w:rFonts w:ascii="Arial" w:hAnsi="Arial" w:cs="Arial"/>
          <w:sz w:val="20"/>
          <w:szCs w:val="20"/>
          <w:lang w:eastAsia="en-US"/>
        </w:rPr>
        <w:t xml:space="preserve"> </w:t>
      </w:r>
    </w:p>
    <w:p w:rsidR="00165CD1" w:rsidRPr="007F3D2B" w:rsidRDefault="00206AD1"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lastRenderedPageBreak/>
        <w:t>Nově umožňuje směrnice provedení změny smlouvy bez nutnosti zahájení zadávacího řízení až do výše 10</w:t>
      </w:r>
      <w:r w:rsidR="00512EBC" w:rsidRPr="007F3D2B">
        <w:rPr>
          <w:rFonts w:ascii="Arial" w:hAnsi="Arial" w:cs="Arial"/>
          <w:sz w:val="20"/>
          <w:szCs w:val="20"/>
          <w:lang w:eastAsia="en-US"/>
        </w:rPr>
        <w:t xml:space="preserve"> </w:t>
      </w:r>
      <w:r w:rsidRPr="007F3D2B">
        <w:rPr>
          <w:rFonts w:ascii="Arial" w:hAnsi="Arial" w:cs="Arial"/>
          <w:sz w:val="20"/>
          <w:szCs w:val="20"/>
          <w:lang w:eastAsia="en-US"/>
        </w:rPr>
        <w:t>% ceny veřejné zakázky v případě služeb a dodávek a 15</w:t>
      </w:r>
      <w:r w:rsidR="00512EBC" w:rsidRPr="007F3D2B">
        <w:rPr>
          <w:rFonts w:ascii="Arial" w:hAnsi="Arial" w:cs="Arial"/>
          <w:sz w:val="20"/>
          <w:szCs w:val="20"/>
          <w:lang w:eastAsia="en-US"/>
        </w:rPr>
        <w:t xml:space="preserve"> </w:t>
      </w:r>
      <w:r w:rsidRPr="007F3D2B">
        <w:rPr>
          <w:rFonts w:ascii="Arial" w:hAnsi="Arial" w:cs="Arial"/>
          <w:sz w:val="20"/>
          <w:szCs w:val="20"/>
          <w:lang w:eastAsia="en-US"/>
        </w:rPr>
        <w:t>% ceny původní veřejné zakázky v případě stavebních prací.</w:t>
      </w:r>
      <w:r w:rsidR="001730C6" w:rsidRPr="007F3D2B">
        <w:rPr>
          <w:rFonts w:ascii="Arial" w:hAnsi="Arial" w:cs="Arial"/>
          <w:sz w:val="20"/>
          <w:szCs w:val="20"/>
          <w:lang w:eastAsia="en-US"/>
        </w:rPr>
        <w:t xml:space="preserve"> Důvody změny se nezkoumají, nesmí však dojít ke změně povahy veřejné zakázky.</w:t>
      </w:r>
    </w:p>
    <w:p w:rsidR="00165CD1" w:rsidRPr="007F3D2B" w:rsidRDefault="00165CD1" w:rsidP="007F3D2B">
      <w:pPr>
        <w:spacing w:before="120" w:line="276" w:lineRule="auto"/>
        <w:jc w:val="both"/>
        <w:rPr>
          <w:rFonts w:ascii="Arial" w:hAnsi="Arial" w:cs="Arial"/>
          <w:sz w:val="20"/>
          <w:szCs w:val="20"/>
          <w:lang w:eastAsia="en-US"/>
        </w:rPr>
      </w:pPr>
    </w:p>
    <w:p w:rsidR="00165CD1" w:rsidRPr="007F3D2B" w:rsidRDefault="00165CD1"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DE20D3" w:rsidRPr="007F3D2B">
        <w:rPr>
          <w:rFonts w:ascii="Arial" w:hAnsi="Arial" w:cs="Arial"/>
          <w:sz w:val="20"/>
          <w:szCs w:val="20"/>
          <w:lang w:eastAsia="en-US"/>
        </w:rPr>
        <w:t xml:space="preserve"> a přínosy</w:t>
      </w:r>
      <w:r w:rsidRPr="007F3D2B">
        <w:rPr>
          <w:rFonts w:ascii="Arial" w:hAnsi="Arial" w:cs="Arial"/>
          <w:sz w:val="20"/>
          <w:szCs w:val="20"/>
          <w:lang w:eastAsia="en-US"/>
        </w:rPr>
        <w:t>:</w:t>
      </w:r>
      <w:r w:rsidR="00DE20D3" w:rsidRPr="007F3D2B">
        <w:rPr>
          <w:rFonts w:ascii="Arial" w:hAnsi="Arial" w:cs="Arial"/>
          <w:sz w:val="20"/>
          <w:szCs w:val="20"/>
          <w:lang w:eastAsia="en-US"/>
        </w:rPr>
        <w:t xml:space="preserve"> Umožní větší flexibilitu zadavatelů při změně smluv a rychlejší reakci na změnu okolností či potřeb, zároveň však hrozí, že změny budou neodůvodněné a nehospodárné.</w:t>
      </w:r>
    </w:p>
    <w:p w:rsidR="00165CD1" w:rsidRPr="007F3D2B" w:rsidRDefault="00165CD1" w:rsidP="007F3D2B">
      <w:pPr>
        <w:spacing w:before="120" w:line="276" w:lineRule="auto"/>
        <w:jc w:val="both"/>
        <w:rPr>
          <w:rFonts w:ascii="Arial" w:hAnsi="Arial" w:cs="Arial"/>
          <w:b/>
          <w:color w:val="000000"/>
          <w:sz w:val="20"/>
          <w:szCs w:val="20"/>
          <w:shd w:val="clear" w:color="auto" w:fill="FFFFFF"/>
        </w:rPr>
      </w:pPr>
    </w:p>
    <w:p w:rsidR="001730C6" w:rsidRPr="007F3D2B" w:rsidRDefault="008D64A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Podvarianta b) umožnit změnu za konkrétních podmínek</w:t>
      </w:r>
    </w:p>
    <w:p w:rsidR="001730C6" w:rsidRPr="007F3D2B" w:rsidRDefault="001730C6" w:rsidP="007F3D2B">
      <w:pPr>
        <w:spacing w:before="120" w:line="276" w:lineRule="auto"/>
        <w:jc w:val="both"/>
        <w:rPr>
          <w:rFonts w:ascii="Arial" w:hAnsi="Arial" w:cs="Arial"/>
          <w:b/>
          <w:sz w:val="20"/>
          <w:szCs w:val="20"/>
          <w:lang w:eastAsia="en-US"/>
        </w:rPr>
      </w:pPr>
    </w:p>
    <w:p w:rsidR="001730C6" w:rsidRPr="007F3D2B" w:rsidRDefault="008D64A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r w:rsidR="001730C6" w:rsidRPr="007F3D2B">
        <w:rPr>
          <w:rFonts w:ascii="Arial" w:hAnsi="Arial" w:cs="Arial"/>
          <w:sz w:val="20"/>
          <w:szCs w:val="20"/>
          <w:lang w:eastAsia="en-US"/>
        </w:rPr>
        <w:t xml:space="preserve">: </w:t>
      </w:r>
    </w:p>
    <w:p w:rsidR="001730C6" w:rsidRPr="007F3D2B" w:rsidRDefault="0077343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Zákon vymezí seznam situací, za kterých je možné smlouvu realizovat bez zkoumání důvodů změny. Tyto změny by odpovídaly </w:t>
      </w:r>
      <w:r w:rsidR="00227530">
        <w:rPr>
          <w:rFonts w:ascii="Arial" w:hAnsi="Arial" w:cs="Arial"/>
          <w:sz w:val="20"/>
          <w:szCs w:val="20"/>
          <w:lang w:eastAsia="en-US"/>
        </w:rPr>
        <w:t>standard</w:t>
      </w:r>
      <w:r w:rsidR="00087140" w:rsidRPr="007F3D2B">
        <w:rPr>
          <w:rFonts w:ascii="Arial" w:hAnsi="Arial" w:cs="Arial"/>
          <w:sz w:val="20"/>
          <w:szCs w:val="20"/>
          <w:lang w:eastAsia="en-US"/>
        </w:rPr>
        <w:t>ním obchodním podmínkám v oboru</w:t>
      </w:r>
      <w:r w:rsidRPr="007F3D2B">
        <w:rPr>
          <w:rFonts w:ascii="Arial" w:hAnsi="Arial" w:cs="Arial"/>
          <w:sz w:val="20"/>
          <w:szCs w:val="20"/>
          <w:lang w:eastAsia="en-US"/>
        </w:rPr>
        <w:t>, např. FIDIC.</w:t>
      </w:r>
      <w:r w:rsidR="000059F7" w:rsidRPr="007F3D2B">
        <w:rPr>
          <w:rFonts w:ascii="Arial" w:hAnsi="Arial" w:cs="Arial"/>
          <w:sz w:val="20"/>
          <w:szCs w:val="20"/>
          <w:lang w:eastAsia="en-US"/>
        </w:rPr>
        <w:t xml:space="preserve"> </w:t>
      </w:r>
    </w:p>
    <w:p w:rsidR="00773439" w:rsidRPr="007F3D2B" w:rsidRDefault="00773439" w:rsidP="007F3D2B">
      <w:pPr>
        <w:spacing w:before="120" w:line="276" w:lineRule="auto"/>
        <w:jc w:val="both"/>
        <w:rPr>
          <w:rFonts w:ascii="Arial" w:hAnsi="Arial" w:cs="Arial"/>
          <w:sz w:val="20"/>
          <w:szCs w:val="20"/>
          <w:lang w:eastAsia="en-US"/>
        </w:rPr>
      </w:pPr>
    </w:p>
    <w:p w:rsidR="001730C6" w:rsidRPr="007F3D2B" w:rsidRDefault="001730C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DE20D3" w:rsidRPr="007F3D2B">
        <w:rPr>
          <w:rFonts w:ascii="Arial" w:hAnsi="Arial" w:cs="Arial"/>
          <w:sz w:val="20"/>
          <w:szCs w:val="20"/>
          <w:lang w:eastAsia="en-US"/>
        </w:rPr>
        <w:t xml:space="preserve"> a přínosy</w:t>
      </w:r>
      <w:r w:rsidRPr="007F3D2B">
        <w:rPr>
          <w:rFonts w:ascii="Arial" w:hAnsi="Arial" w:cs="Arial"/>
          <w:sz w:val="20"/>
          <w:szCs w:val="20"/>
          <w:lang w:eastAsia="en-US"/>
        </w:rPr>
        <w:t>:</w:t>
      </w:r>
    </w:p>
    <w:p w:rsidR="001730C6" w:rsidRPr="007F3D2B" w:rsidRDefault="00773439" w:rsidP="007F3D2B">
      <w:pPr>
        <w:spacing w:before="120" w:line="276" w:lineRule="auto"/>
        <w:jc w:val="both"/>
        <w:rPr>
          <w:rFonts w:ascii="Arial" w:hAnsi="Arial" w:cs="Arial"/>
          <w:b/>
          <w:sz w:val="20"/>
          <w:szCs w:val="20"/>
          <w:lang w:eastAsia="en-US"/>
        </w:rPr>
      </w:pPr>
      <w:r w:rsidRPr="007F3D2B">
        <w:rPr>
          <w:rFonts w:ascii="Arial" w:hAnsi="Arial" w:cs="Arial"/>
          <w:sz w:val="20"/>
          <w:szCs w:val="20"/>
          <w:lang w:eastAsia="en-US"/>
        </w:rPr>
        <w:t>Nejistota ve vymezení a správnosti situací umožňujících změnu smlouvy</w:t>
      </w:r>
      <w:r w:rsidR="00512EBC" w:rsidRPr="007F3D2B">
        <w:rPr>
          <w:rFonts w:ascii="Arial" w:hAnsi="Arial" w:cs="Arial"/>
          <w:sz w:val="20"/>
          <w:szCs w:val="20"/>
          <w:lang w:eastAsia="en-US"/>
        </w:rPr>
        <w:t>.</w:t>
      </w:r>
      <w:r w:rsidR="00087140" w:rsidRPr="007F3D2B">
        <w:rPr>
          <w:rFonts w:ascii="Arial" w:hAnsi="Arial" w:cs="Arial"/>
          <w:sz w:val="20"/>
          <w:szCs w:val="20"/>
          <w:lang w:eastAsia="en-US"/>
        </w:rPr>
        <w:t xml:space="preserve"> Přínosem je pak o</w:t>
      </w:r>
      <w:r w:rsidR="000059F7" w:rsidRPr="007F3D2B">
        <w:rPr>
          <w:rFonts w:ascii="Arial" w:hAnsi="Arial" w:cs="Arial"/>
          <w:sz w:val="20"/>
          <w:szCs w:val="20"/>
          <w:lang w:eastAsia="en-US"/>
        </w:rPr>
        <w:t xml:space="preserve">chrana před nehospodárným vynakládáním veřejných prostředků. </w:t>
      </w:r>
    </w:p>
    <w:p w:rsidR="001730C6" w:rsidRPr="007F3D2B" w:rsidRDefault="001730C6" w:rsidP="007F3D2B">
      <w:pPr>
        <w:spacing w:before="120" w:line="276" w:lineRule="auto"/>
        <w:jc w:val="both"/>
        <w:rPr>
          <w:rFonts w:ascii="Arial" w:hAnsi="Arial" w:cs="Arial"/>
          <w:b/>
          <w:sz w:val="20"/>
          <w:szCs w:val="20"/>
          <w:lang w:eastAsia="en-US"/>
        </w:rPr>
      </w:pPr>
    </w:p>
    <w:p w:rsidR="00165CD1" w:rsidRPr="007F3D2B" w:rsidRDefault="00206AD1"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Varianta 3 – snížení limitu</w:t>
      </w:r>
      <w:r w:rsidR="00D30EA2" w:rsidRPr="007F3D2B">
        <w:rPr>
          <w:rFonts w:ascii="Arial" w:hAnsi="Arial" w:cs="Arial"/>
          <w:b/>
          <w:sz w:val="20"/>
          <w:szCs w:val="20"/>
          <w:lang w:eastAsia="en-US"/>
        </w:rPr>
        <w:t xml:space="preserve"> (tedy omezení rozsahu změny pod 10</w:t>
      </w:r>
      <w:r w:rsidR="00227530">
        <w:rPr>
          <w:rFonts w:ascii="Arial" w:hAnsi="Arial" w:cs="Arial"/>
          <w:b/>
          <w:sz w:val="20"/>
          <w:szCs w:val="20"/>
          <w:lang w:eastAsia="en-US"/>
        </w:rPr>
        <w:t xml:space="preserve"> </w:t>
      </w:r>
      <w:r w:rsidR="00D30EA2" w:rsidRPr="007F3D2B">
        <w:rPr>
          <w:rFonts w:ascii="Arial" w:hAnsi="Arial" w:cs="Arial"/>
          <w:b/>
          <w:sz w:val="20"/>
          <w:szCs w:val="20"/>
          <w:lang w:eastAsia="en-US"/>
        </w:rPr>
        <w:t>%</w:t>
      </w:r>
      <w:r w:rsidR="00227530">
        <w:rPr>
          <w:rFonts w:ascii="Arial" w:hAnsi="Arial" w:cs="Arial"/>
          <w:b/>
          <w:sz w:val="20"/>
          <w:szCs w:val="20"/>
          <w:lang w:eastAsia="en-US"/>
        </w:rPr>
        <w:t>,</w:t>
      </w:r>
      <w:r w:rsidR="00D30EA2" w:rsidRPr="007F3D2B">
        <w:rPr>
          <w:rFonts w:ascii="Arial" w:hAnsi="Arial" w:cs="Arial"/>
          <w:b/>
          <w:sz w:val="20"/>
          <w:szCs w:val="20"/>
          <w:lang w:eastAsia="en-US"/>
        </w:rPr>
        <w:t xml:space="preserve"> resp. 15</w:t>
      </w:r>
      <w:r w:rsidR="00227530">
        <w:rPr>
          <w:rFonts w:ascii="Arial" w:hAnsi="Arial" w:cs="Arial"/>
          <w:b/>
          <w:sz w:val="20"/>
          <w:szCs w:val="20"/>
          <w:lang w:eastAsia="en-US"/>
        </w:rPr>
        <w:t xml:space="preserve"> </w:t>
      </w:r>
      <w:r w:rsidR="00D30EA2" w:rsidRPr="007F3D2B">
        <w:rPr>
          <w:rFonts w:ascii="Arial" w:hAnsi="Arial" w:cs="Arial"/>
          <w:b/>
          <w:sz w:val="20"/>
          <w:szCs w:val="20"/>
          <w:lang w:eastAsia="en-US"/>
        </w:rPr>
        <w:t>%)</w:t>
      </w:r>
    </w:p>
    <w:p w:rsidR="00165CD1" w:rsidRPr="007F3D2B" w:rsidRDefault="00165CD1" w:rsidP="007F3D2B">
      <w:pPr>
        <w:spacing w:before="120" w:line="276" w:lineRule="auto"/>
        <w:jc w:val="both"/>
        <w:rPr>
          <w:rFonts w:ascii="Arial" w:hAnsi="Arial" w:cs="Arial"/>
          <w:b/>
          <w:color w:val="000000"/>
          <w:sz w:val="20"/>
          <w:szCs w:val="20"/>
          <w:shd w:val="clear" w:color="auto" w:fill="FFFFFF"/>
        </w:rPr>
      </w:pPr>
    </w:p>
    <w:p w:rsidR="00512EBC" w:rsidRPr="007F3D2B" w:rsidRDefault="008D64A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r w:rsidR="001730C6" w:rsidRPr="007F3D2B">
        <w:rPr>
          <w:rFonts w:ascii="Arial" w:hAnsi="Arial" w:cs="Arial"/>
          <w:sz w:val="20"/>
          <w:szCs w:val="20"/>
          <w:lang w:eastAsia="en-US"/>
        </w:rPr>
        <w:t xml:space="preserve">: </w:t>
      </w:r>
    </w:p>
    <w:p w:rsidR="001730C6" w:rsidRPr="007F3D2B" w:rsidRDefault="001730C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Nově umožňuje směrnice provedení změny smlouvy, bez nutnosti zahájení zadávacího řízení, až do výše 10</w:t>
      </w:r>
      <w:r w:rsidR="00512EBC" w:rsidRPr="007F3D2B">
        <w:rPr>
          <w:rFonts w:ascii="Arial" w:hAnsi="Arial" w:cs="Arial"/>
          <w:sz w:val="20"/>
          <w:szCs w:val="20"/>
          <w:lang w:eastAsia="en-US"/>
        </w:rPr>
        <w:t xml:space="preserve"> </w:t>
      </w:r>
      <w:r w:rsidRPr="007F3D2B">
        <w:rPr>
          <w:rFonts w:ascii="Arial" w:hAnsi="Arial" w:cs="Arial"/>
          <w:sz w:val="20"/>
          <w:szCs w:val="20"/>
          <w:lang w:eastAsia="en-US"/>
        </w:rPr>
        <w:t>% ceny veřejné zakázky v případě služeb a dodávek a 15</w:t>
      </w:r>
      <w:r w:rsidR="00512EBC" w:rsidRPr="007F3D2B">
        <w:rPr>
          <w:rFonts w:ascii="Arial" w:hAnsi="Arial" w:cs="Arial"/>
          <w:sz w:val="20"/>
          <w:szCs w:val="20"/>
          <w:lang w:eastAsia="en-US"/>
        </w:rPr>
        <w:t xml:space="preserve"> </w:t>
      </w:r>
      <w:r w:rsidRPr="007F3D2B">
        <w:rPr>
          <w:rFonts w:ascii="Arial" w:hAnsi="Arial" w:cs="Arial"/>
          <w:sz w:val="20"/>
          <w:szCs w:val="20"/>
          <w:lang w:eastAsia="en-US"/>
        </w:rPr>
        <w:t>% ceny původní veřejné zakázky v případě stavebních prací. Důvody změny se nezkoumají, nesmí však dojít ke změně povahy veřejné zakázky.</w:t>
      </w:r>
      <w:r w:rsidR="00D30EA2" w:rsidRPr="007F3D2B">
        <w:rPr>
          <w:rFonts w:ascii="Arial" w:hAnsi="Arial" w:cs="Arial"/>
          <w:sz w:val="20"/>
          <w:szCs w:val="20"/>
          <w:lang w:eastAsia="en-US"/>
        </w:rPr>
        <w:t xml:space="preserve"> Členské státy však mohou být</w:t>
      </w:r>
      <w:r w:rsidR="000C03B1" w:rsidRPr="007F3D2B">
        <w:rPr>
          <w:rFonts w:ascii="Arial" w:hAnsi="Arial" w:cs="Arial"/>
          <w:sz w:val="20"/>
          <w:szCs w:val="20"/>
          <w:lang w:eastAsia="en-US"/>
        </w:rPr>
        <w:t>,</w:t>
      </w:r>
      <w:r w:rsidR="00D30EA2" w:rsidRPr="007F3D2B">
        <w:rPr>
          <w:rFonts w:ascii="Arial" w:hAnsi="Arial" w:cs="Arial"/>
          <w:sz w:val="20"/>
          <w:szCs w:val="20"/>
          <w:lang w:eastAsia="en-US"/>
        </w:rPr>
        <w:t xml:space="preserve"> co se týká výše limitu</w:t>
      </w:r>
      <w:r w:rsidR="003A6C64">
        <w:rPr>
          <w:rFonts w:ascii="Arial" w:hAnsi="Arial" w:cs="Arial"/>
          <w:sz w:val="20"/>
          <w:szCs w:val="20"/>
          <w:lang w:eastAsia="en-US"/>
        </w:rPr>
        <w:t>,</w:t>
      </w:r>
      <w:r w:rsidR="00D30EA2" w:rsidRPr="007F3D2B">
        <w:rPr>
          <w:rFonts w:ascii="Arial" w:hAnsi="Arial" w:cs="Arial"/>
          <w:sz w:val="20"/>
          <w:szCs w:val="20"/>
          <w:lang w:eastAsia="en-US"/>
        </w:rPr>
        <w:t xml:space="preserve"> přísnější a stanovit pro změny smluv limity nižší než jsou určeny směrnicí. </w:t>
      </w:r>
    </w:p>
    <w:p w:rsidR="001730C6" w:rsidRPr="007F3D2B" w:rsidRDefault="001730C6" w:rsidP="007F3D2B">
      <w:pPr>
        <w:spacing w:before="120" w:line="276" w:lineRule="auto"/>
        <w:jc w:val="both"/>
        <w:rPr>
          <w:rFonts w:ascii="Arial" w:hAnsi="Arial" w:cs="Arial"/>
          <w:sz w:val="20"/>
          <w:szCs w:val="20"/>
          <w:lang w:eastAsia="en-US"/>
        </w:rPr>
      </w:pPr>
    </w:p>
    <w:p w:rsidR="001730C6" w:rsidRPr="007F3D2B" w:rsidRDefault="001730C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p>
    <w:p w:rsidR="001730C6" w:rsidRPr="007F3D2B" w:rsidRDefault="003B3424"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Není zřejmé vodítko, podle kterého by se měla určit výše přípustné změny</w:t>
      </w:r>
      <w:r w:rsidR="00512EBC" w:rsidRPr="007F3D2B">
        <w:rPr>
          <w:rFonts w:ascii="Arial" w:hAnsi="Arial" w:cs="Arial"/>
          <w:sz w:val="20"/>
          <w:szCs w:val="20"/>
          <w:lang w:eastAsia="en-US"/>
        </w:rPr>
        <w:t>.</w:t>
      </w:r>
      <w:r w:rsidR="00D30EA2" w:rsidRPr="007F3D2B">
        <w:rPr>
          <w:rFonts w:ascii="Arial" w:hAnsi="Arial" w:cs="Arial"/>
          <w:sz w:val="20"/>
          <w:szCs w:val="20"/>
          <w:lang w:eastAsia="en-US"/>
        </w:rPr>
        <w:t xml:space="preserve"> </w:t>
      </w:r>
    </w:p>
    <w:p w:rsidR="007F3D2B" w:rsidRPr="007F3D2B" w:rsidRDefault="007F3D2B" w:rsidP="007F3D2B">
      <w:pPr>
        <w:spacing w:before="120" w:line="276" w:lineRule="auto"/>
        <w:jc w:val="both"/>
        <w:rPr>
          <w:rFonts w:ascii="Arial" w:hAnsi="Arial" w:cs="Arial"/>
          <w:sz w:val="20"/>
          <w:szCs w:val="20"/>
          <w:lang w:eastAsia="en-US"/>
        </w:rPr>
      </w:pPr>
    </w:p>
    <w:p w:rsidR="001730C6" w:rsidRPr="007F3D2B" w:rsidRDefault="008D64A9" w:rsidP="007F3D2B">
      <w:p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Závěr</w:t>
      </w:r>
      <w:r w:rsidR="00D30EA2" w:rsidRPr="007F3D2B">
        <w:rPr>
          <w:rFonts w:ascii="Arial" w:hAnsi="Arial" w:cs="Arial"/>
          <w:color w:val="000000"/>
          <w:sz w:val="20"/>
          <w:szCs w:val="20"/>
          <w:shd w:val="clear" w:color="auto" w:fill="FFFFFF"/>
        </w:rPr>
        <w:t>:</w:t>
      </w:r>
    </w:p>
    <w:p w:rsidR="00D30EA2" w:rsidRPr="007F3D2B" w:rsidRDefault="00E11375" w:rsidP="007F3D2B">
      <w:pPr>
        <w:spacing w:before="120" w:line="276"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Doporučuje se přijetí Varianty</w:t>
      </w:r>
      <w:r w:rsidR="008D64A9" w:rsidRPr="007F3D2B">
        <w:rPr>
          <w:rFonts w:ascii="Arial" w:hAnsi="Arial" w:cs="Arial"/>
          <w:color w:val="000000"/>
          <w:sz w:val="20"/>
          <w:szCs w:val="20"/>
          <w:shd w:val="clear" w:color="auto" w:fill="FFFFFF"/>
        </w:rPr>
        <w:t xml:space="preserve"> 2, podvariantu b)</w:t>
      </w:r>
      <w:r w:rsidR="003A6C64">
        <w:rPr>
          <w:rFonts w:ascii="Arial" w:hAnsi="Arial" w:cs="Arial"/>
          <w:color w:val="000000"/>
          <w:sz w:val="20"/>
          <w:szCs w:val="20"/>
          <w:shd w:val="clear" w:color="auto" w:fill="FFFFFF"/>
        </w:rPr>
        <w:t xml:space="preserve"> –</w:t>
      </w:r>
      <w:r w:rsidR="008D64A9" w:rsidRPr="007F3D2B">
        <w:rPr>
          <w:rFonts w:ascii="Arial" w:hAnsi="Arial" w:cs="Arial"/>
          <w:color w:val="000000"/>
          <w:sz w:val="20"/>
          <w:szCs w:val="20"/>
          <w:shd w:val="clear" w:color="auto" w:fill="FFFFFF"/>
        </w:rPr>
        <w:t xml:space="preserve"> tedy umožnit změnu v celém rozsahu umožněném směrnic</w:t>
      </w:r>
      <w:r w:rsidR="00D30EA2" w:rsidRPr="007F3D2B">
        <w:rPr>
          <w:rFonts w:ascii="Arial" w:hAnsi="Arial" w:cs="Arial"/>
          <w:color w:val="000000"/>
          <w:sz w:val="20"/>
          <w:szCs w:val="20"/>
          <w:shd w:val="clear" w:color="auto" w:fill="FFFFFF"/>
        </w:rPr>
        <w:t xml:space="preserve">emi, avšak pouze za splnění </w:t>
      </w:r>
      <w:r w:rsidR="00680B72" w:rsidRPr="007F3D2B">
        <w:rPr>
          <w:rFonts w:ascii="Arial" w:hAnsi="Arial" w:cs="Arial"/>
          <w:color w:val="000000"/>
          <w:sz w:val="20"/>
          <w:szCs w:val="20"/>
          <w:shd w:val="clear" w:color="auto" w:fill="FFFFFF"/>
        </w:rPr>
        <w:t>definovaných</w:t>
      </w:r>
      <w:r w:rsidR="008D64A9" w:rsidRPr="007F3D2B">
        <w:rPr>
          <w:rFonts w:ascii="Arial" w:hAnsi="Arial" w:cs="Arial"/>
          <w:color w:val="000000"/>
          <w:sz w:val="20"/>
          <w:szCs w:val="20"/>
          <w:shd w:val="clear" w:color="auto" w:fill="FFFFFF"/>
        </w:rPr>
        <w:t xml:space="preserve"> podmínek, </w:t>
      </w:r>
      <w:r w:rsidR="003A6C64">
        <w:rPr>
          <w:rFonts w:ascii="Arial" w:hAnsi="Arial" w:cs="Arial"/>
          <w:color w:val="000000"/>
          <w:sz w:val="20"/>
          <w:szCs w:val="20"/>
          <w:shd w:val="clear" w:color="auto" w:fill="FFFFFF"/>
        </w:rPr>
        <w:t>a</w:t>
      </w:r>
      <w:r w:rsidR="00680B72" w:rsidRPr="007F3D2B">
        <w:rPr>
          <w:rFonts w:ascii="Arial" w:hAnsi="Arial" w:cs="Arial"/>
          <w:color w:val="000000"/>
          <w:sz w:val="20"/>
          <w:szCs w:val="20"/>
          <w:shd w:val="clear" w:color="auto" w:fill="FFFFFF"/>
        </w:rPr>
        <w:t>by bylo zabráněno zneužívání takového ustanovení</w:t>
      </w:r>
      <w:r w:rsidR="008D64A9" w:rsidRPr="007F3D2B">
        <w:rPr>
          <w:rFonts w:ascii="Arial" w:hAnsi="Arial" w:cs="Arial"/>
          <w:color w:val="000000"/>
          <w:sz w:val="20"/>
          <w:szCs w:val="20"/>
          <w:shd w:val="clear" w:color="auto" w:fill="FFFFFF"/>
        </w:rPr>
        <w:t xml:space="preserve">. </w:t>
      </w:r>
    </w:p>
    <w:p w:rsidR="00AF2083" w:rsidRDefault="00AF2083" w:rsidP="007F3D2B">
      <w:pPr>
        <w:spacing w:before="120" w:line="276" w:lineRule="auto"/>
        <w:jc w:val="both"/>
        <w:rPr>
          <w:rFonts w:ascii="Arial" w:hAnsi="Arial" w:cs="Arial"/>
          <w:b/>
          <w:color w:val="000000"/>
          <w:sz w:val="20"/>
          <w:szCs w:val="20"/>
          <w:shd w:val="clear" w:color="auto" w:fill="FFFFFF"/>
        </w:rPr>
      </w:pPr>
    </w:p>
    <w:p w:rsidR="00AF2083" w:rsidRPr="007F3D2B" w:rsidRDefault="00AF2083" w:rsidP="007F3D2B">
      <w:pPr>
        <w:spacing w:before="120" w:line="276" w:lineRule="auto"/>
        <w:jc w:val="both"/>
        <w:rPr>
          <w:rFonts w:ascii="Arial" w:hAnsi="Arial" w:cs="Arial"/>
          <w:b/>
          <w:color w:val="000000"/>
          <w:sz w:val="20"/>
          <w:szCs w:val="20"/>
          <w:shd w:val="clear" w:color="auto" w:fill="FFFFFF"/>
        </w:rPr>
      </w:pPr>
    </w:p>
    <w:p w:rsidR="001730C6" w:rsidRPr="007F3D2B" w:rsidRDefault="00F8129D" w:rsidP="007F3D2B">
      <w:pPr>
        <w:spacing w:before="120" w:line="276" w:lineRule="auto"/>
        <w:jc w:val="both"/>
        <w:rPr>
          <w:rFonts w:ascii="Arial" w:hAnsi="Arial" w:cs="Arial"/>
          <w:b/>
          <w:color w:val="000000"/>
          <w:sz w:val="20"/>
          <w:szCs w:val="20"/>
          <w:shd w:val="clear" w:color="auto" w:fill="FFFFFF"/>
        </w:rPr>
      </w:pPr>
      <w:r w:rsidRPr="007F3D2B">
        <w:rPr>
          <w:rFonts w:ascii="Arial" w:hAnsi="Arial" w:cs="Arial"/>
          <w:b/>
          <w:color w:val="000000"/>
          <w:sz w:val="20"/>
          <w:szCs w:val="20"/>
          <w:shd w:val="clear" w:color="auto" w:fill="FFFFFF"/>
        </w:rPr>
        <w:t xml:space="preserve">J. </w:t>
      </w:r>
      <w:r w:rsidR="001730C6" w:rsidRPr="007F3D2B">
        <w:rPr>
          <w:rFonts w:ascii="Arial" w:hAnsi="Arial" w:cs="Arial"/>
          <w:b/>
          <w:color w:val="000000"/>
          <w:sz w:val="20"/>
          <w:szCs w:val="20"/>
          <w:shd w:val="clear" w:color="auto" w:fill="FFFFFF"/>
        </w:rPr>
        <w:t>Rušení při jedné nabídce</w:t>
      </w:r>
    </w:p>
    <w:p w:rsidR="001730C6" w:rsidRPr="007F3D2B" w:rsidRDefault="001730C6" w:rsidP="007F3D2B">
      <w:pPr>
        <w:spacing w:before="120" w:line="276" w:lineRule="auto"/>
        <w:jc w:val="both"/>
        <w:rPr>
          <w:rFonts w:ascii="Arial" w:hAnsi="Arial" w:cs="Arial"/>
          <w:b/>
          <w:color w:val="000000"/>
          <w:sz w:val="20"/>
          <w:szCs w:val="20"/>
          <w:shd w:val="clear" w:color="auto" w:fill="FFFFFF"/>
        </w:rPr>
      </w:pPr>
    </w:p>
    <w:p w:rsidR="001730C6" w:rsidRPr="007F3D2B" w:rsidRDefault="001730C6"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Varianta 1 – nulová varianta</w:t>
      </w:r>
    </w:p>
    <w:p w:rsidR="001730C6" w:rsidRPr="007F3D2B" w:rsidRDefault="001730C6" w:rsidP="007F3D2B">
      <w:pPr>
        <w:spacing w:before="120" w:line="276" w:lineRule="auto"/>
        <w:jc w:val="both"/>
        <w:rPr>
          <w:rFonts w:ascii="Arial" w:hAnsi="Arial" w:cs="Arial"/>
          <w:sz w:val="20"/>
          <w:szCs w:val="20"/>
          <w:lang w:eastAsia="en-US"/>
        </w:rPr>
      </w:pPr>
    </w:p>
    <w:p w:rsidR="001730C6" w:rsidRPr="007F3D2B" w:rsidRDefault="001730C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lastRenderedPageBreak/>
        <w:t>Popis:</w:t>
      </w:r>
    </w:p>
    <w:p w:rsidR="001730C6" w:rsidRPr="007F3D2B" w:rsidRDefault="001730C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Zachování současného stavu upraveného dle stávající právní úpravy</w:t>
      </w:r>
      <w:r w:rsidR="00087140" w:rsidRPr="007F3D2B">
        <w:rPr>
          <w:rFonts w:ascii="Arial" w:hAnsi="Arial" w:cs="Arial"/>
          <w:sz w:val="20"/>
          <w:szCs w:val="20"/>
          <w:lang w:eastAsia="en-US"/>
        </w:rPr>
        <w:t xml:space="preserve"> – povinnost zrušit zadávací řízení za situace</w:t>
      </w:r>
      <w:r w:rsidR="003A6C64">
        <w:rPr>
          <w:rFonts w:ascii="Arial" w:hAnsi="Arial" w:cs="Arial"/>
          <w:sz w:val="20"/>
          <w:szCs w:val="20"/>
          <w:lang w:eastAsia="en-US"/>
        </w:rPr>
        <w:t>,</w:t>
      </w:r>
      <w:r w:rsidR="00087140" w:rsidRPr="007F3D2B">
        <w:rPr>
          <w:rFonts w:ascii="Arial" w:hAnsi="Arial" w:cs="Arial"/>
          <w:sz w:val="20"/>
          <w:szCs w:val="20"/>
          <w:lang w:eastAsia="en-US"/>
        </w:rPr>
        <w:t xml:space="preserve"> kdy je podána, nebo k hodnocení zbyde pouze jedna nabídka. Toto pravidlo bylo modifikováno zákonným opatřen</w:t>
      </w:r>
      <w:r w:rsidR="003A6C64">
        <w:rPr>
          <w:rFonts w:ascii="Arial" w:hAnsi="Arial" w:cs="Arial"/>
          <w:sz w:val="20"/>
          <w:szCs w:val="20"/>
          <w:lang w:eastAsia="en-US"/>
        </w:rPr>
        <w:t>ím S</w:t>
      </w:r>
      <w:r w:rsidR="00087140" w:rsidRPr="007F3D2B">
        <w:rPr>
          <w:rFonts w:ascii="Arial" w:hAnsi="Arial" w:cs="Arial"/>
          <w:sz w:val="20"/>
          <w:szCs w:val="20"/>
          <w:lang w:eastAsia="en-US"/>
        </w:rPr>
        <w:t>enátu č. 341/2013 Sb., kterým byly vymezeny podmínky, za jejichž splnění je možné v zadávacím řízení pokračovat i za situace</w:t>
      </w:r>
      <w:r w:rsidR="003A6C64">
        <w:rPr>
          <w:rFonts w:ascii="Arial" w:hAnsi="Arial" w:cs="Arial"/>
          <w:sz w:val="20"/>
          <w:szCs w:val="20"/>
          <w:lang w:eastAsia="en-US"/>
        </w:rPr>
        <w:t>,</w:t>
      </w:r>
      <w:r w:rsidR="00087140" w:rsidRPr="007F3D2B">
        <w:rPr>
          <w:rFonts w:ascii="Arial" w:hAnsi="Arial" w:cs="Arial"/>
          <w:sz w:val="20"/>
          <w:szCs w:val="20"/>
          <w:lang w:eastAsia="en-US"/>
        </w:rPr>
        <w:t xml:space="preserve"> kdy je doručena, nebo k hodnocení zbyde jen jedna nabídka.</w:t>
      </w:r>
    </w:p>
    <w:p w:rsidR="001730C6" w:rsidRPr="007F3D2B" w:rsidRDefault="001730C6" w:rsidP="007F3D2B">
      <w:pPr>
        <w:spacing w:before="120" w:line="276" w:lineRule="auto"/>
        <w:jc w:val="both"/>
        <w:rPr>
          <w:rFonts w:ascii="Arial" w:hAnsi="Arial" w:cs="Arial"/>
          <w:sz w:val="20"/>
          <w:szCs w:val="20"/>
          <w:lang w:eastAsia="en-US"/>
        </w:rPr>
      </w:pPr>
    </w:p>
    <w:p w:rsidR="001C766B" w:rsidRPr="007F3D2B" w:rsidRDefault="001730C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087140" w:rsidRPr="007F3D2B">
        <w:rPr>
          <w:rFonts w:ascii="Arial" w:hAnsi="Arial" w:cs="Arial"/>
          <w:sz w:val="20"/>
          <w:szCs w:val="20"/>
          <w:lang w:eastAsia="en-US"/>
        </w:rPr>
        <w:t xml:space="preserve"> a přínosy</w:t>
      </w:r>
      <w:r w:rsidRPr="007F3D2B">
        <w:rPr>
          <w:rFonts w:ascii="Arial" w:hAnsi="Arial" w:cs="Arial"/>
          <w:sz w:val="20"/>
          <w:szCs w:val="20"/>
          <w:lang w:eastAsia="en-US"/>
        </w:rPr>
        <w:t xml:space="preserve">: </w:t>
      </w:r>
    </w:p>
    <w:p w:rsidR="001730C6" w:rsidRPr="007F3D2B" w:rsidRDefault="001C766B"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Prodloužení lhůty pro zadání veřejných zakázek v</w:t>
      </w:r>
      <w:r w:rsidR="00F8129D" w:rsidRPr="007F3D2B">
        <w:rPr>
          <w:rFonts w:ascii="Arial" w:hAnsi="Arial" w:cs="Arial"/>
          <w:sz w:val="20"/>
          <w:szCs w:val="20"/>
          <w:lang w:eastAsia="en-US"/>
        </w:rPr>
        <w:t> </w:t>
      </w:r>
      <w:r w:rsidRPr="007F3D2B">
        <w:rPr>
          <w:rFonts w:ascii="Arial" w:hAnsi="Arial" w:cs="Arial"/>
          <w:sz w:val="20"/>
          <w:szCs w:val="20"/>
          <w:lang w:eastAsia="en-US"/>
        </w:rPr>
        <w:t>případě</w:t>
      </w:r>
      <w:r w:rsidR="00F8129D" w:rsidRPr="007F3D2B">
        <w:rPr>
          <w:rFonts w:ascii="Arial" w:hAnsi="Arial" w:cs="Arial"/>
          <w:sz w:val="20"/>
          <w:szCs w:val="20"/>
          <w:lang w:eastAsia="en-US"/>
        </w:rPr>
        <w:t>,</w:t>
      </w:r>
      <w:r w:rsidRPr="007F3D2B">
        <w:rPr>
          <w:rFonts w:ascii="Arial" w:hAnsi="Arial" w:cs="Arial"/>
          <w:sz w:val="20"/>
          <w:szCs w:val="20"/>
          <w:lang w:eastAsia="en-US"/>
        </w:rPr>
        <w:t xml:space="preserve"> kdy existuje pouze</w:t>
      </w:r>
      <w:r w:rsidR="007F3D2B" w:rsidRPr="007F3D2B">
        <w:rPr>
          <w:rFonts w:ascii="Arial" w:hAnsi="Arial" w:cs="Arial"/>
          <w:sz w:val="20"/>
          <w:szCs w:val="20"/>
          <w:lang w:eastAsia="en-US"/>
        </w:rPr>
        <w:t xml:space="preserve"> úzký okruh možných dodavatelů </w:t>
      </w:r>
      <w:r w:rsidRPr="007F3D2B">
        <w:rPr>
          <w:rFonts w:ascii="Arial" w:hAnsi="Arial" w:cs="Arial"/>
          <w:sz w:val="20"/>
          <w:szCs w:val="20"/>
          <w:lang w:eastAsia="en-US"/>
        </w:rPr>
        <w:t xml:space="preserve">v případě, že je doručena pouze jedná nabídka, je nutné zadávací řízení opakovat. Na druhou stranu tato varianta eliminuje riziko, že by podmínky veřejné zakázky byly stanoveny záměrně tak, aby se mohl účastnit pouze jeden, předem vybraný, dodavatel. Je však nutné doplnit, že i v případě, že bude přijata tato varianta, stále hrozí riziko, že dodavatele budou svá jednání koordinovat a předkládat zdánlivě konkurenční nabídky, aby byla aplikace tohoto pravidla vyloučena, na vítězi zakázky se však předem dohodnou. </w:t>
      </w:r>
    </w:p>
    <w:p w:rsidR="001730C6" w:rsidRPr="007F3D2B" w:rsidRDefault="001730C6" w:rsidP="007F3D2B">
      <w:pPr>
        <w:spacing w:before="120" w:line="276" w:lineRule="auto"/>
        <w:jc w:val="both"/>
        <w:rPr>
          <w:rFonts w:ascii="Arial" w:hAnsi="Arial" w:cs="Arial"/>
          <w:sz w:val="20"/>
          <w:szCs w:val="20"/>
          <w:lang w:eastAsia="en-US"/>
        </w:rPr>
      </w:pPr>
    </w:p>
    <w:p w:rsidR="001730C6" w:rsidRPr="007F3D2B" w:rsidRDefault="001730C6" w:rsidP="007F3D2B">
      <w:pPr>
        <w:spacing w:before="120" w:line="276" w:lineRule="auto"/>
        <w:jc w:val="both"/>
        <w:rPr>
          <w:rFonts w:ascii="Arial" w:hAnsi="Arial" w:cs="Arial"/>
          <w:b/>
          <w:sz w:val="20"/>
          <w:szCs w:val="20"/>
          <w:lang w:eastAsia="en-US"/>
        </w:rPr>
      </w:pPr>
      <w:r w:rsidRPr="007F3D2B">
        <w:rPr>
          <w:rFonts w:ascii="Arial" w:hAnsi="Arial" w:cs="Arial"/>
          <w:b/>
          <w:sz w:val="20"/>
          <w:szCs w:val="20"/>
          <w:lang w:eastAsia="en-US"/>
        </w:rPr>
        <w:t xml:space="preserve">Varianta 2 – vypuštění povinnosti rušit </w:t>
      </w:r>
      <w:r w:rsidR="003D2EEE" w:rsidRPr="007F3D2B">
        <w:rPr>
          <w:rFonts w:ascii="Arial" w:hAnsi="Arial" w:cs="Arial"/>
          <w:b/>
          <w:sz w:val="20"/>
          <w:szCs w:val="20"/>
          <w:lang w:eastAsia="en-US"/>
        </w:rPr>
        <w:t xml:space="preserve">zadávací řízení </w:t>
      </w:r>
      <w:r w:rsidRPr="007F3D2B">
        <w:rPr>
          <w:rFonts w:ascii="Arial" w:hAnsi="Arial" w:cs="Arial"/>
          <w:b/>
          <w:sz w:val="20"/>
          <w:szCs w:val="20"/>
          <w:lang w:eastAsia="en-US"/>
        </w:rPr>
        <w:t>při jedné nabídce</w:t>
      </w:r>
    </w:p>
    <w:p w:rsidR="001730C6" w:rsidRPr="007F3D2B" w:rsidRDefault="001730C6" w:rsidP="007F3D2B">
      <w:pPr>
        <w:spacing w:before="120" w:line="276" w:lineRule="auto"/>
        <w:jc w:val="both"/>
        <w:rPr>
          <w:rFonts w:ascii="Arial" w:hAnsi="Arial" w:cs="Arial"/>
          <w:b/>
          <w:sz w:val="20"/>
          <w:szCs w:val="20"/>
          <w:lang w:eastAsia="en-US"/>
        </w:rPr>
      </w:pPr>
    </w:p>
    <w:p w:rsidR="003D2EEE" w:rsidRPr="007F3D2B" w:rsidRDefault="008D64A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r w:rsidR="001730C6" w:rsidRPr="007F3D2B">
        <w:rPr>
          <w:rFonts w:ascii="Arial" w:hAnsi="Arial" w:cs="Arial"/>
          <w:sz w:val="20"/>
          <w:szCs w:val="20"/>
          <w:lang w:eastAsia="en-US"/>
        </w:rPr>
        <w:t xml:space="preserve">: </w:t>
      </w:r>
    </w:p>
    <w:p w:rsidR="001730C6" w:rsidRPr="007F3D2B" w:rsidRDefault="001730C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Směrnice nezakotvuje povinnost rušit zadávací řízení v případě obdržení jediné nabídky</w:t>
      </w:r>
      <w:r w:rsidR="007564B6" w:rsidRPr="007F3D2B">
        <w:rPr>
          <w:rFonts w:ascii="Arial" w:hAnsi="Arial" w:cs="Arial"/>
          <w:sz w:val="20"/>
          <w:szCs w:val="20"/>
          <w:lang w:eastAsia="en-US"/>
        </w:rPr>
        <w:t>, v případě jediné nabídky by tedy již nebylo nutné zadávací řízení rušit</w:t>
      </w:r>
      <w:r w:rsidRPr="007F3D2B">
        <w:rPr>
          <w:rFonts w:ascii="Arial" w:hAnsi="Arial" w:cs="Arial"/>
          <w:sz w:val="20"/>
          <w:szCs w:val="20"/>
          <w:lang w:eastAsia="en-US"/>
        </w:rPr>
        <w:t>.</w:t>
      </w:r>
      <w:r w:rsidR="001C766B" w:rsidRPr="007F3D2B">
        <w:rPr>
          <w:rFonts w:ascii="Arial" w:hAnsi="Arial" w:cs="Arial"/>
          <w:sz w:val="20"/>
          <w:szCs w:val="20"/>
          <w:lang w:eastAsia="en-US"/>
        </w:rPr>
        <w:t xml:space="preserve"> </w:t>
      </w:r>
      <w:r w:rsidR="005412ED" w:rsidRPr="007F3D2B">
        <w:rPr>
          <w:rFonts w:ascii="Arial" w:hAnsi="Arial" w:cs="Arial"/>
          <w:sz w:val="20"/>
          <w:szCs w:val="20"/>
          <w:lang w:eastAsia="en-US"/>
        </w:rPr>
        <w:t>Pro doplnění dále uvádíme, že možnost</w:t>
      </w:r>
      <w:r w:rsidR="003A6C64">
        <w:rPr>
          <w:rFonts w:ascii="Arial" w:hAnsi="Arial" w:cs="Arial"/>
          <w:sz w:val="20"/>
          <w:szCs w:val="20"/>
          <w:lang w:eastAsia="en-US"/>
        </w:rPr>
        <w:t>, nikoli však povinnost</w:t>
      </w:r>
      <w:r w:rsidR="005412ED" w:rsidRPr="007F3D2B">
        <w:rPr>
          <w:rFonts w:ascii="Arial" w:hAnsi="Arial" w:cs="Arial"/>
          <w:sz w:val="20"/>
          <w:szCs w:val="20"/>
          <w:lang w:eastAsia="en-US"/>
        </w:rPr>
        <w:t xml:space="preserve"> zrušit zadávací řízení v případě obdržení jedné nabídky</w:t>
      </w:r>
      <w:r w:rsidR="003A6C64">
        <w:rPr>
          <w:rFonts w:ascii="Arial" w:hAnsi="Arial" w:cs="Arial"/>
          <w:sz w:val="20"/>
          <w:szCs w:val="20"/>
          <w:lang w:eastAsia="en-US"/>
        </w:rPr>
        <w:t>,</w:t>
      </w:r>
      <w:r w:rsidR="005412ED" w:rsidRPr="007F3D2B">
        <w:rPr>
          <w:rFonts w:ascii="Arial" w:hAnsi="Arial" w:cs="Arial"/>
          <w:sz w:val="20"/>
          <w:szCs w:val="20"/>
          <w:lang w:eastAsia="en-US"/>
        </w:rPr>
        <w:t xml:space="preserve"> </w:t>
      </w:r>
      <w:r w:rsidR="003854F9" w:rsidRPr="007F3D2B">
        <w:rPr>
          <w:rFonts w:ascii="Arial" w:hAnsi="Arial" w:cs="Arial"/>
          <w:sz w:val="20"/>
          <w:szCs w:val="20"/>
          <w:lang w:eastAsia="en-US"/>
        </w:rPr>
        <w:t>bude</w:t>
      </w:r>
      <w:r w:rsidR="005412ED" w:rsidRPr="007F3D2B">
        <w:rPr>
          <w:rFonts w:ascii="Arial" w:hAnsi="Arial" w:cs="Arial"/>
          <w:sz w:val="20"/>
          <w:szCs w:val="20"/>
          <w:lang w:eastAsia="en-US"/>
        </w:rPr>
        <w:t xml:space="preserve"> zachována.</w:t>
      </w:r>
    </w:p>
    <w:p w:rsidR="001730C6" w:rsidRPr="007F3D2B" w:rsidRDefault="001730C6" w:rsidP="007F3D2B">
      <w:pPr>
        <w:spacing w:before="120" w:line="276" w:lineRule="auto"/>
        <w:jc w:val="both"/>
        <w:rPr>
          <w:rFonts w:ascii="Arial" w:hAnsi="Arial" w:cs="Arial"/>
          <w:sz w:val="20"/>
          <w:szCs w:val="20"/>
          <w:lang w:eastAsia="en-US"/>
        </w:rPr>
      </w:pPr>
    </w:p>
    <w:p w:rsidR="001730C6" w:rsidRPr="007F3D2B" w:rsidRDefault="001730C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087140" w:rsidRPr="007F3D2B">
        <w:rPr>
          <w:rFonts w:ascii="Arial" w:hAnsi="Arial" w:cs="Arial"/>
          <w:sz w:val="20"/>
          <w:szCs w:val="20"/>
          <w:lang w:eastAsia="en-US"/>
        </w:rPr>
        <w:t xml:space="preserve"> a přínosy</w:t>
      </w:r>
      <w:r w:rsidRPr="007F3D2B">
        <w:rPr>
          <w:rFonts w:ascii="Arial" w:hAnsi="Arial" w:cs="Arial"/>
          <w:sz w:val="20"/>
          <w:szCs w:val="20"/>
          <w:lang w:eastAsia="en-US"/>
        </w:rPr>
        <w:t xml:space="preserve">: </w:t>
      </w:r>
      <w:r w:rsidR="001C766B" w:rsidRPr="007F3D2B">
        <w:rPr>
          <w:rFonts w:ascii="Arial" w:hAnsi="Arial" w:cs="Arial"/>
          <w:sz w:val="20"/>
          <w:szCs w:val="20"/>
          <w:lang w:eastAsia="en-US"/>
        </w:rPr>
        <w:t>Je zde riziko, že zadávací podmín</w:t>
      </w:r>
      <w:r w:rsidRPr="007F3D2B">
        <w:rPr>
          <w:rFonts w:ascii="Arial" w:hAnsi="Arial" w:cs="Arial"/>
          <w:sz w:val="20"/>
          <w:szCs w:val="20"/>
          <w:lang w:eastAsia="en-US"/>
        </w:rPr>
        <w:t>k</w:t>
      </w:r>
      <w:r w:rsidR="001C766B" w:rsidRPr="007F3D2B">
        <w:rPr>
          <w:rFonts w:ascii="Arial" w:hAnsi="Arial" w:cs="Arial"/>
          <w:sz w:val="20"/>
          <w:szCs w:val="20"/>
          <w:lang w:eastAsia="en-US"/>
        </w:rPr>
        <w:t xml:space="preserve">y budou stanoveny tak, aby se mohl soutěže účastnit jen předem vybraný dodavatel. </w:t>
      </w:r>
      <w:r w:rsidR="00087140" w:rsidRPr="007F3D2B">
        <w:rPr>
          <w:rFonts w:ascii="Arial" w:hAnsi="Arial" w:cs="Arial"/>
          <w:sz w:val="20"/>
          <w:szCs w:val="20"/>
          <w:lang w:eastAsia="en-US"/>
        </w:rPr>
        <w:t>Na druhou stranu se zavedení pravidla povinnosti rušit při jedné nabídce ukázalo jako pravidlo příliš přísné, blokující možnost zadání některých veřejných zakázek a dle předkladatele není nutné v tomto trendu</w:t>
      </w:r>
      <w:r w:rsidR="004D13AA" w:rsidRPr="007F3D2B">
        <w:rPr>
          <w:rFonts w:ascii="Arial" w:hAnsi="Arial" w:cs="Arial"/>
          <w:sz w:val="20"/>
          <w:szCs w:val="20"/>
          <w:lang w:eastAsia="en-US"/>
        </w:rPr>
        <w:t xml:space="preserve"> z</w:t>
      </w:r>
      <w:r w:rsidR="00087140" w:rsidRPr="007F3D2B">
        <w:rPr>
          <w:rFonts w:ascii="Arial" w:hAnsi="Arial" w:cs="Arial"/>
          <w:sz w:val="20"/>
          <w:szCs w:val="20"/>
          <w:lang w:eastAsia="en-US"/>
        </w:rPr>
        <w:t>přísňování v NZVZ pokračovat.</w:t>
      </w:r>
    </w:p>
    <w:p w:rsidR="001730C6" w:rsidRPr="007F3D2B" w:rsidRDefault="001730C6" w:rsidP="007F3D2B">
      <w:pPr>
        <w:spacing w:before="120" w:line="276" w:lineRule="auto"/>
        <w:jc w:val="both"/>
        <w:rPr>
          <w:rFonts w:ascii="Arial" w:hAnsi="Arial" w:cs="Arial"/>
          <w:sz w:val="20"/>
          <w:szCs w:val="20"/>
          <w:lang w:eastAsia="en-US"/>
        </w:rPr>
      </w:pPr>
    </w:p>
    <w:p w:rsidR="001730C6" w:rsidRPr="007F3D2B" w:rsidRDefault="001730C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Závěr: </w:t>
      </w:r>
      <w:r w:rsidR="00AB1D44" w:rsidRPr="007F3D2B">
        <w:rPr>
          <w:rFonts w:ascii="Arial" w:hAnsi="Arial" w:cs="Arial"/>
          <w:sz w:val="20"/>
          <w:szCs w:val="20"/>
          <w:lang w:eastAsia="en-US"/>
        </w:rPr>
        <w:t>Předkladatel doporučuje přijetí varianty 2</w:t>
      </w:r>
      <w:r w:rsidR="003A6C64">
        <w:rPr>
          <w:rFonts w:ascii="Arial" w:hAnsi="Arial" w:cs="Arial"/>
          <w:sz w:val="20"/>
          <w:szCs w:val="20"/>
          <w:lang w:eastAsia="en-US"/>
        </w:rPr>
        <w:t>.</w:t>
      </w:r>
    </w:p>
    <w:p w:rsidR="00974D6B" w:rsidRPr="007F3D2B" w:rsidRDefault="00974D6B" w:rsidP="007F3D2B">
      <w:pPr>
        <w:spacing w:before="120" w:line="276" w:lineRule="auto"/>
        <w:jc w:val="both"/>
        <w:rPr>
          <w:rFonts w:ascii="Arial" w:hAnsi="Arial" w:cs="Arial"/>
          <w:sz w:val="20"/>
          <w:szCs w:val="20"/>
          <w:lang w:eastAsia="en-US"/>
        </w:rPr>
      </w:pPr>
    </w:p>
    <w:p w:rsidR="007F3D2B" w:rsidRPr="007F3D2B" w:rsidRDefault="007F3D2B" w:rsidP="007F3D2B">
      <w:pPr>
        <w:spacing w:before="120" w:line="276" w:lineRule="auto"/>
        <w:jc w:val="both"/>
        <w:rPr>
          <w:rFonts w:ascii="Arial" w:hAnsi="Arial" w:cs="Arial"/>
          <w:b/>
          <w:color w:val="000000"/>
          <w:sz w:val="20"/>
          <w:szCs w:val="20"/>
          <w:shd w:val="clear" w:color="auto" w:fill="FFFFFF"/>
        </w:rPr>
      </w:pPr>
    </w:p>
    <w:p w:rsidR="001730C6" w:rsidRPr="007F3D2B" w:rsidRDefault="003D2EEE" w:rsidP="007F3D2B">
      <w:pPr>
        <w:spacing w:before="120" w:line="276" w:lineRule="auto"/>
        <w:jc w:val="both"/>
        <w:rPr>
          <w:rFonts w:ascii="Arial" w:hAnsi="Arial" w:cs="Arial"/>
          <w:b/>
          <w:color w:val="000000"/>
          <w:sz w:val="20"/>
          <w:szCs w:val="20"/>
          <w:shd w:val="clear" w:color="auto" w:fill="FFFFFF"/>
        </w:rPr>
      </w:pPr>
      <w:r w:rsidRPr="007F3D2B">
        <w:rPr>
          <w:rFonts w:ascii="Arial" w:hAnsi="Arial" w:cs="Arial"/>
          <w:b/>
          <w:color w:val="000000"/>
          <w:sz w:val="20"/>
          <w:szCs w:val="20"/>
          <w:shd w:val="clear" w:color="auto" w:fill="FFFFFF"/>
        </w:rPr>
        <w:t xml:space="preserve">K. </w:t>
      </w:r>
      <w:r w:rsidR="001730C6" w:rsidRPr="007F3D2B">
        <w:rPr>
          <w:rFonts w:ascii="Arial" w:hAnsi="Arial" w:cs="Arial"/>
          <w:b/>
          <w:color w:val="000000"/>
          <w:sz w:val="20"/>
          <w:szCs w:val="20"/>
          <w:shd w:val="clear" w:color="auto" w:fill="FFFFFF"/>
        </w:rPr>
        <w:t>Dohled nad dodržováním zákona</w:t>
      </w:r>
    </w:p>
    <w:p w:rsidR="001730C6" w:rsidRPr="007F3D2B" w:rsidRDefault="001730C6" w:rsidP="007F3D2B">
      <w:pPr>
        <w:spacing w:before="120" w:line="276" w:lineRule="auto"/>
        <w:jc w:val="both"/>
        <w:rPr>
          <w:rFonts w:ascii="Arial" w:hAnsi="Arial" w:cs="Arial"/>
          <w:b/>
          <w:color w:val="000000"/>
          <w:sz w:val="20"/>
          <w:szCs w:val="20"/>
          <w:shd w:val="clear" w:color="auto" w:fill="FFFFFF"/>
        </w:rPr>
      </w:pPr>
    </w:p>
    <w:p w:rsidR="001730C6" w:rsidRPr="007F3D2B" w:rsidRDefault="001730C6" w:rsidP="007F3D2B">
      <w:pPr>
        <w:spacing w:before="120" w:line="276" w:lineRule="auto"/>
        <w:jc w:val="both"/>
        <w:rPr>
          <w:rFonts w:ascii="Arial" w:hAnsi="Arial" w:cs="Arial"/>
          <w:b/>
          <w:color w:val="000000"/>
          <w:sz w:val="20"/>
          <w:szCs w:val="20"/>
          <w:shd w:val="clear" w:color="auto" w:fill="FFFFFF"/>
        </w:rPr>
      </w:pPr>
      <w:r w:rsidRPr="007F3D2B">
        <w:rPr>
          <w:rFonts w:ascii="Arial" w:hAnsi="Arial" w:cs="Arial"/>
          <w:b/>
          <w:color w:val="000000"/>
          <w:sz w:val="20"/>
          <w:szCs w:val="20"/>
          <w:shd w:val="clear" w:color="auto" w:fill="FFFFFF"/>
        </w:rPr>
        <w:t>Varianta 1</w:t>
      </w:r>
      <w:r w:rsidR="00974D6B" w:rsidRPr="007F3D2B">
        <w:rPr>
          <w:rFonts w:ascii="Arial" w:hAnsi="Arial" w:cs="Arial"/>
          <w:b/>
          <w:color w:val="000000"/>
          <w:sz w:val="20"/>
          <w:szCs w:val="20"/>
          <w:shd w:val="clear" w:color="auto" w:fill="FFFFFF"/>
        </w:rPr>
        <w:t xml:space="preserve"> </w:t>
      </w:r>
      <w:r w:rsidR="00364281" w:rsidRPr="007F3D2B">
        <w:rPr>
          <w:rFonts w:ascii="Arial" w:hAnsi="Arial" w:cs="Arial"/>
          <w:b/>
          <w:color w:val="000000"/>
          <w:sz w:val="20"/>
          <w:szCs w:val="20"/>
          <w:shd w:val="clear" w:color="auto" w:fill="FFFFFF"/>
        </w:rPr>
        <w:t>–</w:t>
      </w:r>
      <w:r w:rsidR="00974D6B" w:rsidRPr="007F3D2B">
        <w:rPr>
          <w:rFonts w:ascii="Arial" w:hAnsi="Arial" w:cs="Arial"/>
          <w:b/>
          <w:color w:val="000000"/>
          <w:sz w:val="20"/>
          <w:szCs w:val="20"/>
          <w:shd w:val="clear" w:color="auto" w:fill="FFFFFF"/>
        </w:rPr>
        <w:t xml:space="preserve"> </w:t>
      </w:r>
      <w:r w:rsidR="00364281" w:rsidRPr="007F3D2B">
        <w:rPr>
          <w:rFonts w:ascii="Arial" w:hAnsi="Arial" w:cs="Arial"/>
          <w:b/>
          <w:color w:val="000000"/>
          <w:sz w:val="20"/>
          <w:szCs w:val="20"/>
          <w:shd w:val="clear" w:color="auto" w:fill="FFFFFF"/>
        </w:rPr>
        <w:t>nulová varianta</w:t>
      </w:r>
    </w:p>
    <w:p w:rsidR="001730C6" w:rsidRPr="007F3D2B" w:rsidRDefault="001730C6" w:rsidP="007F3D2B">
      <w:pPr>
        <w:spacing w:before="120" w:line="276" w:lineRule="auto"/>
        <w:jc w:val="both"/>
        <w:rPr>
          <w:rFonts w:ascii="Arial" w:hAnsi="Arial" w:cs="Arial"/>
          <w:b/>
          <w:color w:val="000000"/>
          <w:sz w:val="20"/>
          <w:szCs w:val="20"/>
          <w:shd w:val="clear" w:color="auto" w:fill="FFFFFF"/>
        </w:rPr>
      </w:pPr>
    </w:p>
    <w:p w:rsidR="007564B6" w:rsidRPr="007F3D2B" w:rsidRDefault="008D64A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r w:rsidR="001730C6" w:rsidRPr="007F3D2B">
        <w:rPr>
          <w:rFonts w:ascii="Arial" w:hAnsi="Arial" w:cs="Arial"/>
          <w:sz w:val="20"/>
          <w:szCs w:val="20"/>
          <w:lang w:eastAsia="en-US"/>
        </w:rPr>
        <w:t>:</w:t>
      </w:r>
    </w:p>
    <w:p w:rsidR="001730C6" w:rsidRPr="007F3D2B" w:rsidRDefault="00364281"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Zachování současného stavu upraveného dle stávající právní úpravy</w:t>
      </w:r>
      <w:r w:rsidR="007564B6" w:rsidRPr="007F3D2B">
        <w:rPr>
          <w:rFonts w:ascii="Arial" w:hAnsi="Arial" w:cs="Arial"/>
          <w:sz w:val="20"/>
          <w:szCs w:val="20"/>
          <w:lang w:eastAsia="en-US"/>
        </w:rPr>
        <w:t>.</w:t>
      </w:r>
      <w:r w:rsidR="001B1E38" w:rsidRPr="007F3D2B">
        <w:rPr>
          <w:rFonts w:ascii="Arial" w:hAnsi="Arial" w:cs="Arial"/>
          <w:sz w:val="20"/>
          <w:szCs w:val="20"/>
          <w:lang w:eastAsia="en-US"/>
        </w:rPr>
        <w:t xml:space="preserve"> Tedy umožnění využití opravného prostředku proti rozhodnutí Úřadu pro ochranu hospodářské soutěže – rozkladu.</w:t>
      </w:r>
    </w:p>
    <w:p w:rsidR="00364281" w:rsidRPr="007F3D2B" w:rsidRDefault="00364281" w:rsidP="007F3D2B">
      <w:pPr>
        <w:spacing w:before="120" w:line="276" w:lineRule="auto"/>
        <w:jc w:val="both"/>
        <w:rPr>
          <w:rFonts w:ascii="Arial" w:hAnsi="Arial" w:cs="Arial"/>
          <w:sz w:val="20"/>
          <w:szCs w:val="20"/>
          <w:lang w:eastAsia="en-US"/>
        </w:rPr>
      </w:pPr>
    </w:p>
    <w:p w:rsidR="001730C6" w:rsidRPr="007F3D2B" w:rsidRDefault="001730C6"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1B1E38" w:rsidRPr="007F3D2B">
        <w:rPr>
          <w:rFonts w:ascii="Arial" w:hAnsi="Arial" w:cs="Arial"/>
          <w:sz w:val="20"/>
          <w:szCs w:val="20"/>
          <w:lang w:eastAsia="en-US"/>
        </w:rPr>
        <w:t xml:space="preserve"> a </w:t>
      </w:r>
      <w:r w:rsidR="003A6C64">
        <w:rPr>
          <w:rFonts w:ascii="Arial" w:hAnsi="Arial" w:cs="Arial"/>
          <w:sz w:val="20"/>
          <w:szCs w:val="20"/>
          <w:lang w:eastAsia="en-US"/>
        </w:rPr>
        <w:t>přínosy</w:t>
      </w:r>
      <w:r w:rsidRPr="007F3D2B">
        <w:rPr>
          <w:rFonts w:ascii="Arial" w:hAnsi="Arial" w:cs="Arial"/>
          <w:sz w:val="20"/>
          <w:szCs w:val="20"/>
          <w:lang w:eastAsia="en-US"/>
        </w:rPr>
        <w:t xml:space="preserve">: </w:t>
      </w:r>
    </w:p>
    <w:p w:rsidR="001B1E38" w:rsidRPr="007F3D2B" w:rsidRDefault="00965843"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lastRenderedPageBreak/>
        <w:t>Zachování nepřiměřeného administrativního zatížení ÚOHS a z toho vyplývající neúm</w:t>
      </w:r>
      <w:r w:rsidR="007564B6" w:rsidRPr="007F3D2B">
        <w:rPr>
          <w:rFonts w:ascii="Arial" w:hAnsi="Arial" w:cs="Arial"/>
          <w:sz w:val="20"/>
          <w:szCs w:val="20"/>
          <w:lang w:eastAsia="en-US"/>
        </w:rPr>
        <w:t>ě</w:t>
      </w:r>
      <w:r w:rsidRPr="007F3D2B">
        <w:rPr>
          <w:rFonts w:ascii="Arial" w:hAnsi="Arial" w:cs="Arial"/>
          <w:sz w:val="20"/>
          <w:szCs w:val="20"/>
          <w:lang w:eastAsia="en-US"/>
        </w:rPr>
        <w:t>rná délka přezkumného řízení</w:t>
      </w:r>
      <w:r w:rsidR="007564B6" w:rsidRPr="007F3D2B">
        <w:rPr>
          <w:rFonts w:ascii="Arial" w:hAnsi="Arial" w:cs="Arial"/>
          <w:sz w:val="20"/>
          <w:szCs w:val="20"/>
          <w:lang w:eastAsia="en-US"/>
        </w:rPr>
        <w:t>.</w:t>
      </w:r>
      <w:r w:rsidR="001B1E38" w:rsidRPr="007F3D2B">
        <w:rPr>
          <w:rFonts w:ascii="Arial" w:hAnsi="Arial" w:cs="Arial"/>
          <w:sz w:val="20"/>
          <w:szCs w:val="20"/>
          <w:lang w:eastAsia="en-US"/>
        </w:rPr>
        <w:t xml:space="preserve"> Širší možnost ochrany dodavatelů proti protiprávnímu rozhodnutí Úřadu pro ochranu hospodářské soutěže.</w:t>
      </w:r>
    </w:p>
    <w:p w:rsidR="00965843" w:rsidRPr="007F3D2B" w:rsidRDefault="00965843" w:rsidP="007F3D2B">
      <w:pPr>
        <w:spacing w:before="120" w:line="276" w:lineRule="auto"/>
        <w:jc w:val="both"/>
        <w:rPr>
          <w:rFonts w:ascii="Arial" w:hAnsi="Arial" w:cs="Arial"/>
          <w:b/>
          <w:color w:val="000000"/>
          <w:sz w:val="20"/>
          <w:szCs w:val="20"/>
          <w:shd w:val="clear" w:color="auto" w:fill="FFFFFF"/>
        </w:rPr>
      </w:pPr>
    </w:p>
    <w:p w:rsidR="00364281" w:rsidRPr="007F3D2B" w:rsidRDefault="00364281" w:rsidP="007F3D2B">
      <w:pPr>
        <w:spacing w:before="120" w:line="276" w:lineRule="auto"/>
        <w:jc w:val="both"/>
        <w:rPr>
          <w:rFonts w:ascii="Arial" w:hAnsi="Arial" w:cs="Arial"/>
          <w:b/>
          <w:color w:val="000000"/>
          <w:sz w:val="20"/>
          <w:szCs w:val="20"/>
          <w:shd w:val="clear" w:color="auto" w:fill="FFFFFF"/>
        </w:rPr>
      </w:pPr>
      <w:r w:rsidRPr="007F3D2B">
        <w:rPr>
          <w:rFonts w:ascii="Arial" w:hAnsi="Arial" w:cs="Arial"/>
          <w:b/>
          <w:color w:val="000000"/>
          <w:sz w:val="20"/>
          <w:szCs w:val="20"/>
          <w:shd w:val="clear" w:color="auto" w:fill="FFFFFF"/>
        </w:rPr>
        <w:t xml:space="preserve">Varianta 2 – </w:t>
      </w:r>
      <w:r w:rsidR="001B1E38" w:rsidRPr="007F3D2B">
        <w:rPr>
          <w:rFonts w:ascii="Arial" w:hAnsi="Arial" w:cs="Arial"/>
          <w:b/>
          <w:color w:val="000000"/>
          <w:sz w:val="20"/>
          <w:szCs w:val="20"/>
          <w:shd w:val="clear" w:color="auto" w:fill="FFFFFF"/>
        </w:rPr>
        <w:t>jednostupňové řízení v případě přezkumu podlimitních veřejných zakázek</w:t>
      </w:r>
      <w:r w:rsidR="001B1E38" w:rsidRPr="007F3D2B" w:rsidDel="001B1E38">
        <w:rPr>
          <w:rFonts w:ascii="Arial" w:hAnsi="Arial" w:cs="Arial"/>
          <w:b/>
          <w:color w:val="000000"/>
          <w:sz w:val="20"/>
          <w:szCs w:val="20"/>
          <w:shd w:val="clear" w:color="auto" w:fill="FFFFFF"/>
        </w:rPr>
        <w:t xml:space="preserve"> </w:t>
      </w:r>
    </w:p>
    <w:p w:rsidR="00364281" w:rsidRPr="007F3D2B" w:rsidRDefault="00364281" w:rsidP="007F3D2B">
      <w:pPr>
        <w:spacing w:before="120" w:line="276" w:lineRule="auto"/>
        <w:jc w:val="both"/>
        <w:rPr>
          <w:rFonts w:ascii="Arial" w:hAnsi="Arial" w:cs="Arial"/>
          <w:b/>
          <w:color w:val="000000"/>
          <w:sz w:val="20"/>
          <w:szCs w:val="20"/>
          <w:shd w:val="clear" w:color="auto" w:fill="FFFFFF"/>
        </w:rPr>
      </w:pPr>
    </w:p>
    <w:p w:rsidR="00364281" w:rsidRPr="007F3D2B" w:rsidRDefault="008D64A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r w:rsidR="00364281" w:rsidRPr="007F3D2B">
        <w:rPr>
          <w:rFonts w:ascii="Arial" w:hAnsi="Arial" w:cs="Arial"/>
          <w:sz w:val="20"/>
          <w:szCs w:val="20"/>
          <w:lang w:eastAsia="en-US"/>
        </w:rPr>
        <w:t xml:space="preserve">: </w:t>
      </w:r>
    </w:p>
    <w:p w:rsidR="00965843" w:rsidRPr="007F3D2B" w:rsidRDefault="00965843"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Přezkumné řízení by bylo jednostupňové bez možnosti podat rozklad proti rozhodnutí, tento systém by zahrnoval podlimitní veřejné zakázky</w:t>
      </w:r>
      <w:r w:rsidR="00CD6987" w:rsidRPr="007F3D2B">
        <w:rPr>
          <w:rFonts w:ascii="Arial" w:hAnsi="Arial" w:cs="Arial"/>
          <w:sz w:val="20"/>
          <w:szCs w:val="20"/>
          <w:lang w:eastAsia="en-US"/>
        </w:rPr>
        <w:t>.</w:t>
      </w:r>
      <w:r w:rsidR="001B1E38" w:rsidRPr="007F3D2B">
        <w:rPr>
          <w:rFonts w:ascii="Arial" w:hAnsi="Arial" w:cs="Arial"/>
          <w:sz w:val="20"/>
          <w:szCs w:val="20"/>
          <w:lang w:eastAsia="en-US"/>
        </w:rPr>
        <w:t xml:space="preserve"> </w:t>
      </w:r>
      <w:r w:rsidR="006939C4" w:rsidRPr="007F3D2B">
        <w:rPr>
          <w:rFonts w:ascii="Arial" w:hAnsi="Arial" w:cs="Arial"/>
          <w:sz w:val="20"/>
          <w:szCs w:val="20"/>
          <w:lang w:eastAsia="en-US"/>
        </w:rPr>
        <w:t>U nadlimitních by zůstalo řízení dvoustupňové. Možnost přezkumu rozhodnutí ÚOHS ve správním soudnictví by zůstala zachována pro podlimitní i nadlimitní veřejné zakázky.</w:t>
      </w:r>
    </w:p>
    <w:p w:rsidR="00364281" w:rsidRPr="007F3D2B" w:rsidRDefault="00364281"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1B1E38" w:rsidRPr="007F3D2B">
        <w:rPr>
          <w:rFonts w:ascii="Arial" w:hAnsi="Arial" w:cs="Arial"/>
          <w:sz w:val="20"/>
          <w:szCs w:val="20"/>
          <w:lang w:eastAsia="en-US"/>
        </w:rPr>
        <w:t xml:space="preserve"> a </w:t>
      </w:r>
      <w:r w:rsidR="003A6C64">
        <w:rPr>
          <w:rFonts w:ascii="Arial" w:hAnsi="Arial" w:cs="Arial"/>
          <w:sz w:val="20"/>
          <w:szCs w:val="20"/>
          <w:lang w:eastAsia="en-US"/>
        </w:rPr>
        <w:t>přínosy</w:t>
      </w:r>
      <w:r w:rsidRPr="007F3D2B">
        <w:rPr>
          <w:rFonts w:ascii="Arial" w:hAnsi="Arial" w:cs="Arial"/>
          <w:sz w:val="20"/>
          <w:szCs w:val="20"/>
          <w:lang w:eastAsia="en-US"/>
        </w:rPr>
        <w:t xml:space="preserve">: </w:t>
      </w:r>
    </w:p>
    <w:p w:rsidR="001B1E38" w:rsidRPr="007F3D2B" w:rsidRDefault="00965843"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Ztížená náprava případných nesprávných rozhodnutí ÚOHS, postižený dodavatel by se </w:t>
      </w:r>
      <w:r w:rsidR="006939C4" w:rsidRPr="007F3D2B">
        <w:rPr>
          <w:rFonts w:ascii="Arial" w:hAnsi="Arial" w:cs="Arial"/>
          <w:sz w:val="20"/>
          <w:szCs w:val="20"/>
          <w:lang w:eastAsia="en-US"/>
        </w:rPr>
        <w:t xml:space="preserve">ovšem </w:t>
      </w:r>
      <w:r w:rsidRPr="007F3D2B">
        <w:rPr>
          <w:rFonts w:ascii="Arial" w:hAnsi="Arial" w:cs="Arial"/>
          <w:sz w:val="20"/>
          <w:szCs w:val="20"/>
          <w:lang w:eastAsia="en-US"/>
        </w:rPr>
        <w:t xml:space="preserve">mohl bránit následně soudní cestou, </w:t>
      </w:r>
      <w:r w:rsidR="001B1E38" w:rsidRPr="007F3D2B">
        <w:rPr>
          <w:rFonts w:ascii="Arial" w:hAnsi="Arial" w:cs="Arial"/>
          <w:sz w:val="20"/>
          <w:szCs w:val="20"/>
          <w:lang w:eastAsia="en-US"/>
        </w:rPr>
        <w:t>Nespornou výhodou této varianty je pak snížení zátěže Úřadu pro ochranu hospodářské soutěže a tím zefektivnění jeho činnosti</w:t>
      </w:r>
      <w:r w:rsidR="006939C4" w:rsidRPr="007F3D2B">
        <w:rPr>
          <w:rFonts w:ascii="Arial" w:hAnsi="Arial" w:cs="Arial"/>
          <w:sz w:val="20"/>
          <w:szCs w:val="20"/>
          <w:lang w:eastAsia="en-US"/>
        </w:rPr>
        <w:t xml:space="preserve"> a zkrácení celkové délky zadávacích řízení, která jsou předmětem přezkumu</w:t>
      </w:r>
      <w:r w:rsidR="001B1E38" w:rsidRPr="007F3D2B">
        <w:rPr>
          <w:rFonts w:ascii="Arial" w:hAnsi="Arial" w:cs="Arial"/>
          <w:sz w:val="20"/>
          <w:szCs w:val="20"/>
          <w:lang w:eastAsia="en-US"/>
        </w:rPr>
        <w:t xml:space="preserve">. </w:t>
      </w:r>
    </w:p>
    <w:p w:rsidR="00965843" w:rsidRPr="007F3D2B" w:rsidRDefault="00965843" w:rsidP="007F3D2B">
      <w:pPr>
        <w:spacing w:before="120" w:line="276" w:lineRule="auto"/>
        <w:jc w:val="both"/>
        <w:rPr>
          <w:rFonts w:ascii="Arial" w:hAnsi="Arial" w:cs="Arial"/>
          <w:sz w:val="20"/>
          <w:szCs w:val="20"/>
          <w:lang w:eastAsia="en-US"/>
        </w:rPr>
      </w:pPr>
    </w:p>
    <w:p w:rsidR="00364281" w:rsidRPr="007F3D2B" w:rsidRDefault="00364281"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Závěr:</w:t>
      </w:r>
    </w:p>
    <w:p w:rsidR="00965843" w:rsidRPr="007F3D2B" w:rsidRDefault="001B1E38"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D</w:t>
      </w:r>
      <w:r w:rsidR="00E11375">
        <w:rPr>
          <w:rFonts w:ascii="Arial" w:hAnsi="Arial" w:cs="Arial"/>
          <w:sz w:val="20"/>
          <w:szCs w:val="20"/>
          <w:lang w:eastAsia="en-US"/>
        </w:rPr>
        <w:t>oporučuje se</w:t>
      </w:r>
      <w:r w:rsidR="00965843" w:rsidRPr="007F3D2B">
        <w:rPr>
          <w:rFonts w:ascii="Arial" w:hAnsi="Arial" w:cs="Arial"/>
          <w:sz w:val="20"/>
          <w:szCs w:val="20"/>
          <w:lang w:eastAsia="en-US"/>
        </w:rPr>
        <w:t xml:space="preserve"> </w:t>
      </w:r>
      <w:r w:rsidR="00E11375">
        <w:rPr>
          <w:rFonts w:ascii="Arial" w:hAnsi="Arial" w:cs="Arial"/>
          <w:sz w:val="20"/>
          <w:szCs w:val="20"/>
          <w:lang w:eastAsia="en-US"/>
        </w:rPr>
        <w:t>přijmout varianta</w:t>
      </w:r>
      <w:r w:rsidRPr="007F3D2B">
        <w:rPr>
          <w:rFonts w:ascii="Arial" w:hAnsi="Arial" w:cs="Arial"/>
          <w:sz w:val="20"/>
          <w:szCs w:val="20"/>
          <w:lang w:eastAsia="en-US"/>
        </w:rPr>
        <w:t xml:space="preserve"> 2</w:t>
      </w:r>
      <w:r w:rsidR="007508C4">
        <w:rPr>
          <w:rFonts w:ascii="Arial" w:hAnsi="Arial" w:cs="Arial"/>
          <w:sz w:val="20"/>
          <w:szCs w:val="20"/>
          <w:lang w:eastAsia="en-US"/>
        </w:rPr>
        <w:t>,</w:t>
      </w:r>
      <w:r w:rsidRPr="007F3D2B">
        <w:rPr>
          <w:rFonts w:ascii="Arial" w:hAnsi="Arial" w:cs="Arial"/>
          <w:sz w:val="20"/>
          <w:szCs w:val="20"/>
          <w:lang w:eastAsia="en-US"/>
        </w:rPr>
        <w:t xml:space="preserve"> a to </w:t>
      </w:r>
      <w:r w:rsidR="00965843" w:rsidRPr="007F3D2B">
        <w:rPr>
          <w:rFonts w:ascii="Arial" w:hAnsi="Arial" w:cs="Arial"/>
          <w:sz w:val="20"/>
          <w:szCs w:val="20"/>
          <w:lang w:eastAsia="en-US"/>
        </w:rPr>
        <w:t>i s vědomím rizik</w:t>
      </w:r>
      <w:r w:rsidR="00CD6987" w:rsidRPr="007F3D2B">
        <w:rPr>
          <w:rFonts w:ascii="Arial" w:hAnsi="Arial" w:cs="Arial"/>
          <w:sz w:val="20"/>
          <w:szCs w:val="20"/>
          <w:lang w:eastAsia="en-US"/>
        </w:rPr>
        <w:t>.</w:t>
      </w:r>
    </w:p>
    <w:p w:rsidR="00364281" w:rsidRDefault="00364281" w:rsidP="007F3D2B">
      <w:pPr>
        <w:spacing w:before="120" w:line="276" w:lineRule="auto"/>
        <w:jc w:val="both"/>
        <w:rPr>
          <w:rFonts w:ascii="Arial" w:hAnsi="Arial" w:cs="Arial"/>
          <w:b/>
          <w:color w:val="000000"/>
          <w:sz w:val="20"/>
          <w:szCs w:val="20"/>
          <w:shd w:val="clear" w:color="auto" w:fill="FFFFFF"/>
        </w:rPr>
      </w:pPr>
    </w:p>
    <w:p w:rsidR="00AF2083" w:rsidRPr="007F3D2B" w:rsidRDefault="00AF2083" w:rsidP="007F3D2B">
      <w:pPr>
        <w:spacing w:before="120" w:line="276" w:lineRule="auto"/>
        <w:jc w:val="both"/>
        <w:rPr>
          <w:rFonts w:ascii="Arial" w:hAnsi="Arial" w:cs="Arial"/>
          <w:b/>
          <w:color w:val="000000"/>
          <w:sz w:val="20"/>
          <w:szCs w:val="20"/>
          <w:shd w:val="clear" w:color="auto" w:fill="FFFFFF"/>
        </w:rPr>
      </w:pPr>
    </w:p>
    <w:p w:rsidR="00364281" w:rsidRPr="007F3D2B" w:rsidRDefault="00CD6987" w:rsidP="007F3D2B">
      <w:pPr>
        <w:spacing w:before="120" w:line="276" w:lineRule="auto"/>
        <w:jc w:val="both"/>
        <w:rPr>
          <w:rFonts w:ascii="Arial" w:hAnsi="Arial" w:cs="Arial"/>
          <w:b/>
          <w:color w:val="000000"/>
          <w:sz w:val="20"/>
          <w:szCs w:val="20"/>
          <w:shd w:val="clear" w:color="auto" w:fill="FFFFFF"/>
        </w:rPr>
      </w:pPr>
      <w:r w:rsidRPr="007F3D2B">
        <w:rPr>
          <w:rFonts w:ascii="Arial" w:hAnsi="Arial" w:cs="Arial"/>
          <w:b/>
          <w:color w:val="000000"/>
          <w:sz w:val="20"/>
          <w:szCs w:val="20"/>
          <w:shd w:val="clear" w:color="auto" w:fill="FFFFFF"/>
        </w:rPr>
        <w:t>L.</w:t>
      </w:r>
      <w:r w:rsidR="007F6D85" w:rsidRPr="007F3D2B">
        <w:rPr>
          <w:rFonts w:ascii="Arial" w:hAnsi="Arial" w:cs="Arial"/>
          <w:b/>
          <w:color w:val="000000"/>
          <w:sz w:val="20"/>
          <w:szCs w:val="20"/>
          <w:shd w:val="clear" w:color="auto" w:fill="FFFFFF"/>
        </w:rPr>
        <w:t xml:space="preserve"> </w:t>
      </w:r>
      <w:r w:rsidR="00364281" w:rsidRPr="007F3D2B">
        <w:rPr>
          <w:rFonts w:ascii="Arial" w:hAnsi="Arial" w:cs="Arial"/>
          <w:b/>
          <w:color w:val="000000"/>
          <w:sz w:val="20"/>
          <w:szCs w:val="20"/>
          <w:shd w:val="clear" w:color="auto" w:fill="FFFFFF"/>
        </w:rPr>
        <w:t>Transparentní vlastnická struktura</w:t>
      </w:r>
    </w:p>
    <w:p w:rsidR="00364281" w:rsidRPr="007F3D2B" w:rsidRDefault="00364281" w:rsidP="007F3D2B">
      <w:pPr>
        <w:spacing w:before="120" w:line="276" w:lineRule="auto"/>
        <w:jc w:val="both"/>
        <w:rPr>
          <w:rFonts w:ascii="Arial" w:hAnsi="Arial" w:cs="Arial"/>
          <w:b/>
          <w:color w:val="000000"/>
          <w:sz w:val="20"/>
          <w:szCs w:val="20"/>
          <w:shd w:val="clear" w:color="auto" w:fill="FFFFFF"/>
        </w:rPr>
      </w:pPr>
    </w:p>
    <w:p w:rsidR="00364281" w:rsidRPr="007F3D2B" w:rsidRDefault="00364281" w:rsidP="007F3D2B">
      <w:pPr>
        <w:spacing w:before="120" w:line="276" w:lineRule="auto"/>
        <w:jc w:val="both"/>
        <w:rPr>
          <w:rFonts w:ascii="Arial" w:hAnsi="Arial" w:cs="Arial"/>
          <w:b/>
          <w:color w:val="000000"/>
          <w:sz w:val="20"/>
          <w:szCs w:val="20"/>
          <w:shd w:val="clear" w:color="auto" w:fill="FFFFFF"/>
        </w:rPr>
      </w:pPr>
      <w:r w:rsidRPr="007F3D2B">
        <w:rPr>
          <w:rFonts w:ascii="Arial" w:hAnsi="Arial" w:cs="Arial"/>
          <w:b/>
          <w:color w:val="000000"/>
          <w:sz w:val="20"/>
          <w:szCs w:val="20"/>
          <w:shd w:val="clear" w:color="auto" w:fill="FFFFFF"/>
        </w:rPr>
        <w:t>Varianta 1 – nulová varianta</w:t>
      </w:r>
    </w:p>
    <w:p w:rsidR="00364281" w:rsidRPr="007F3D2B" w:rsidRDefault="00364281" w:rsidP="007F3D2B">
      <w:pPr>
        <w:spacing w:before="120" w:line="276" w:lineRule="auto"/>
        <w:jc w:val="both"/>
        <w:rPr>
          <w:rFonts w:ascii="Arial" w:hAnsi="Arial" w:cs="Arial"/>
          <w:b/>
          <w:color w:val="000000"/>
          <w:sz w:val="20"/>
          <w:szCs w:val="20"/>
          <w:shd w:val="clear" w:color="auto" w:fill="FFFFFF"/>
        </w:rPr>
      </w:pPr>
    </w:p>
    <w:p w:rsidR="00432648" w:rsidRPr="007F3D2B" w:rsidRDefault="008D64A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r w:rsidR="00364281" w:rsidRPr="007F3D2B">
        <w:rPr>
          <w:rFonts w:ascii="Arial" w:hAnsi="Arial" w:cs="Arial"/>
          <w:sz w:val="20"/>
          <w:szCs w:val="20"/>
          <w:lang w:eastAsia="en-US"/>
        </w:rPr>
        <w:t xml:space="preserve">: </w:t>
      </w:r>
    </w:p>
    <w:p w:rsidR="00364281" w:rsidRPr="007F3D2B" w:rsidRDefault="00364281"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Zachování současného stavu upraveného dle stávající právní úpravy</w:t>
      </w:r>
      <w:r w:rsidR="00432648" w:rsidRPr="007F3D2B">
        <w:rPr>
          <w:rFonts w:ascii="Arial" w:hAnsi="Arial" w:cs="Arial"/>
          <w:sz w:val="20"/>
          <w:szCs w:val="20"/>
          <w:lang w:eastAsia="en-US"/>
        </w:rPr>
        <w:t>.</w:t>
      </w:r>
      <w:r w:rsidR="005A4FFA" w:rsidRPr="007F3D2B">
        <w:rPr>
          <w:rFonts w:ascii="Arial" w:hAnsi="Arial" w:cs="Arial"/>
          <w:sz w:val="20"/>
          <w:szCs w:val="20"/>
          <w:lang w:eastAsia="en-US"/>
        </w:rPr>
        <w:t xml:space="preserve"> Dodavatelé jsou v současné době v souladu s § 68 odst. 3 </w:t>
      </w:r>
      <w:r w:rsidR="007508C4">
        <w:rPr>
          <w:rFonts w:ascii="Arial" w:hAnsi="Arial" w:cs="Arial"/>
          <w:sz w:val="20"/>
          <w:szCs w:val="20"/>
          <w:lang w:eastAsia="en-US"/>
        </w:rPr>
        <w:t xml:space="preserve">ZVZ </w:t>
      </w:r>
      <w:r w:rsidR="005A4FFA" w:rsidRPr="007F3D2B">
        <w:rPr>
          <w:rFonts w:ascii="Arial" w:hAnsi="Arial" w:cs="Arial"/>
          <w:sz w:val="20"/>
          <w:szCs w:val="20"/>
          <w:lang w:eastAsia="en-US"/>
        </w:rPr>
        <w:t>povinni, mají-li formu akciové společnosti, v nabídce předkládat seznam vlastníků akcií, jejichž souhrnná jmenovitá hodnota přesahuje 10 % základního kapitálu.</w:t>
      </w:r>
    </w:p>
    <w:p w:rsidR="00364281" w:rsidRPr="007F3D2B" w:rsidRDefault="00364281" w:rsidP="007F3D2B">
      <w:pPr>
        <w:spacing w:before="120" w:line="276" w:lineRule="auto"/>
        <w:jc w:val="both"/>
        <w:rPr>
          <w:rFonts w:ascii="Arial" w:hAnsi="Arial" w:cs="Arial"/>
          <w:sz w:val="20"/>
          <w:szCs w:val="20"/>
          <w:lang w:eastAsia="en-US"/>
        </w:rPr>
      </w:pPr>
    </w:p>
    <w:p w:rsidR="007508C4" w:rsidRDefault="00364281"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5A4FFA" w:rsidRPr="007F3D2B">
        <w:rPr>
          <w:rFonts w:ascii="Arial" w:hAnsi="Arial" w:cs="Arial"/>
          <w:sz w:val="20"/>
          <w:szCs w:val="20"/>
          <w:lang w:eastAsia="en-US"/>
        </w:rPr>
        <w:t xml:space="preserve"> a </w:t>
      </w:r>
      <w:r w:rsidR="007508C4">
        <w:rPr>
          <w:rFonts w:ascii="Arial" w:hAnsi="Arial" w:cs="Arial"/>
          <w:sz w:val="20"/>
          <w:szCs w:val="20"/>
          <w:lang w:eastAsia="en-US"/>
        </w:rPr>
        <w:t>přínosy:</w:t>
      </w:r>
    </w:p>
    <w:p w:rsidR="00364281" w:rsidRPr="007F3D2B" w:rsidRDefault="00642A2C"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Nebude znám konečný příjemce veřejných prostředků. </w:t>
      </w:r>
      <w:r w:rsidR="005A4FFA" w:rsidRPr="007F3D2B">
        <w:rPr>
          <w:rFonts w:ascii="Arial" w:hAnsi="Arial" w:cs="Arial"/>
          <w:sz w:val="20"/>
          <w:szCs w:val="20"/>
          <w:lang w:eastAsia="en-US"/>
        </w:rPr>
        <w:t xml:space="preserve">Zadávacího řízení se bude moci účastnit větší množství dodavatelů. </w:t>
      </w:r>
    </w:p>
    <w:p w:rsidR="00965843" w:rsidRPr="007F3D2B" w:rsidRDefault="00965843" w:rsidP="007F3D2B">
      <w:pPr>
        <w:spacing w:before="120" w:line="276" w:lineRule="auto"/>
        <w:jc w:val="both"/>
        <w:rPr>
          <w:rFonts w:ascii="Arial" w:hAnsi="Arial" w:cs="Arial"/>
          <w:b/>
          <w:color w:val="000000"/>
          <w:sz w:val="20"/>
          <w:szCs w:val="20"/>
          <w:shd w:val="clear" w:color="auto" w:fill="FFFFFF"/>
        </w:rPr>
      </w:pPr>
    </w:p>
    <w:p w:rsidR="00364281" w:rsidRPr="007F3D2B" w:rsidRDefault="00364281" w:rsidP="007F3D2B">
      <w:pPr>
        <w:spacing w:before="120" w:line="276" w:lineRule="auto"/>
        <w:jc w:val="both"/>
        <w:rPr>
          <w:rFonts w:ascii="Arial" w:hAnsi="Arial" w:cs="Arial"/>
          <w:b/>
          <w:color w:val="000000"/>
          <w:sz w:val="20"/>
          <w:szCs w:val="20"/>
          <w:shd w:val="clear" w:color="auto" w:fill="FFFFFF"/>
        </w:rPr>
      </w:pPr>
      <w:r w:rsidRPr="007F3D2B">
        <w:rPr>
          <w:rFonts w:ascii="Arial" w:hAnsi="Arial" w:cs="Arial"/>
          <w:b/>
          <w:color w:val="000000"/>
          <w:sz w:val="20"/>
          <w:szCs w:val="20"/>
          <w:shd w:val="clear" w:color="auto" w:fill="FFFFFF"/>
        </w:rPr>
        <w:t>Varianta 2 – úprava vlastnické struktury</w:t>
      </w:r>
    </w:p>
    <w:p w:rsidR="00364281" w:rsidRPr="007F3D2B" w:rsidRDefault="00364281" w:rsidP="007F3D2B">
      <w:pPr>
        <w:spacing w:before="120" w:line="276" w:lineRule="auto"/>
        <w:jc w:val="both"/>
        <w:rPr>
          <w:rFonts w:ascii="Arial" w:hAnsi="Arial" w:cs="Arial"/>
          <w:b/>
          <w:color w:val="000000"/>
          <w:sz w:val="20"/>
          <w:szCs w:val="20"/>
          <w:shd w:val="clear" w:color="auto" w:fill="FFFFFF"/>
        </w:rPr>
      </w:pPr>
    </w:p>
    <w:p w:rsidR="00965843" w:rsidRPr="007F3D2B" w:rsidRDefault="00364281"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Popis: </w:t>
      </w:r>
    </w:p>
    <w:p w:rsidR="00364281" w:rsidRPr="007F3D2B" w:rsidRDefault="00432648"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U</w:t>
      </w:r>
      <w:r w:rsidR="00364281" w:rsidRPr="007F3D2B">
        <w:rPr>
          <w:rFonts w:ascii="Arial" w:hAnsi="Arial" w:cs="Arial"/>
          <w:sz w:val="20"/>
          <w:szCs w:val="20"/>
          <w:lang w:eastAsia="en-US"/>
        </w:rPr>
        <w:t xml:space="preserve"> akciových společností</w:t>
      </w:r>
      <w:r w:rsidRPr="007F3D2B">
        <w:rPr>
          <w:rFonts w:ascii="Arial" w:hAnsi="Arial" w:cs="Arial"/>
          <w:sz w:val="20"/>
          <w:szCs w:val="20"/>
          <w:lang w:eastAsia="en-US"/>
        </w:rPr>
        <w:t>, u nichž není zjistitelná vlastnická struktura a</w:t>
      </w:r>
      <w:r w:rsidR="00364281" w:rsidRPr="007F3D2B">
        <w:rPr>
          <w:rFonts w:ascii="Arial" w:hAnsi="Arial" w:cs="Arial"/>
          <w:sz w:val="20"/>
          <w:szCs w:val="20"/>
          <w:lang w:eastAsia="en-US"/>
        </w:rPr>
        <w:t xml:space="preserve"> které sídlí v České republice,</w:t>
      </w:r>
      <w:r w:rsidR="005A4FFA" w:rsidRPr="007F3D2B">
        <w:rPr>
          <w:rFonts w:ascii="Arial" w:hAnsi="Arial" w:cs="Arial"/>
          <w:sz w:val="20"/>
          <w:szCs w:val="20"/>
          <w:lang w:eastAsia="en-US"/>
        </w:rPr>
        <w:t xml:space="preserve"> stanovit</w:t>
      </w:r>
      <w:r w:rsidR="00364281" w:rsidRPr="007F3D2B">
        <w:rPr>
          <w:rFonts w:ascii="Arial" w:hAnsi="Arial" w:cs="Arial"/>
          <w:sz w:val="20"/>
          <w:szCs w:val="20"/>
          <w:lang w:eastAsia="en-US"/>
        </w:rPr>
        <w:t xml:space="preserve"> zákaz účasti v zadávacích řízeních, u zahraničních osob by se vlastníci prokazovali prostřednictvím če</w:t>
      </w:r>
      <w:r w:rsidRPr="007F3D2B">
        <w:rPr>
          <w:rFonts w:ascii="Arial" w:hAnsi="Arial" w:cs="Arial"/>
          <w:sz w:val="20"/>
          <w:szCs w:val="20"/>
          <w:lang w:eastAsia="en-US"/>
        </w:rPr>
        <w:t>s</w:t>
      </w:r>
      <w:r w:rsidR="00364281" w:rsidRPr="007F3D2B">
        <w:rPr>
          <w:rFonts w:ascii="Arial" w:hAnsi="Arial" w:cs="Arial"/>
          <w:sz w:val="20"/>
          <w:szCs w:val="20"/>
          <w:lang w:eastAsia="en-US"/>
        </w:rPr>
        <w:t>tných prohlášení.</w:t>
      </w:r>
    </w:p>
    <w:p w:rsidR="00364281" w:rsidRPr="007F3D2B" w:rsidRDefault="00364281" w:rsidP="007F3D2B">
      <w:pPr>
        <w:spacing w:before="120" w:line="276" w:lineRule="auto"/>
        <w:jc w:val="both"/>
        <w:rPr>
          <w:rFonts w:ascii="Arial" w:hAnsi="Arial" w:cs="Arial"/>
          <w:sz w:val="20"/>
          <w:szCs w:val="20"/>
          <w:lang w:eastAsia="en-US"/>
        </w:rPr>
      </w:pPr>
    </w:p>
    <w:p w:rsidR="00965843" w:rsidRPr="007F3D2B" w:rsidRDefault="00364281"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5A4FFA" w:rsidRPr="007F3D2B">
        <w:rPr>
          <w:rFonts w:ascii="Arial" w:hAnsi="Arial" w:cs="Arial"/>
          <w:sz w:val="20"/>
          <w:szCs w:val="20"/>
          <w:lang w:eastAsia="en-US"/>
        </w:rPr>
        <w:t xml:space="preserve"> a </w:t>
      </w:r>
      <w:r w:rsidR="00AF2083">
        <w:rPr>
          <w:rFonts w:ascii="Arial" w:hAnsi="Arial" w:cs="Arial"/>
          <w:sz w:val="20"/>
          <w:szCs w:val="20"/>
          <w:lang w:eastAsia="en-US"/>
        </w:rPr>
        <w:t>přínosy</w:t>
      </w:r>
      <w:r w:rsidRPr="007F3D2B">
        <w:rPr>
          <w:rFonts w:ascii="Arial" w:hAnsi="Arial" w:cs="Arial"/>
          <w:sz w:val="20"/>
          <w:szCs w:val="20"/>
          <w:lang w:eastAsia="en-US"/>
        </w:rPr>
        <w:t xml:space="preserve">: </w:t>
      </w:r>
    </w:p>
    <w:p w:rsidR="00364281" w:rsidRPr="007F3D2B" w:rsidRDefault="006E41FE"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 xml:space="preserve">Riziko nerovnosti přístupu k vnitrostátním a zahraničním právnickým osobám. Kdy právnickým osobám, které splňují pro svoji existenci všechny podmínky stanovené právním řádem, ale není jasná jejich vlastnická struktura, nebude umožněna účast v zadávacích řízeních vůbec, zatímco zahraničním osobám postačí toliko čestné prohlášení k tomu, aby se zadávacího řízení, i přes svou nejasnou vlastnickou strukturu, mohly účastnit. </w:t>
      </w:r>
      <w:r w:rsidR="005A4FFA" w:rsidRPr="007F3D2B">
        <w:rPr>
          <w:rFonts w:ascii="Arial" w:hAnsi="Arial" w:cs="Arial"/>
          <w:sz w:val="20"/>
          <w:szCs w:val="20"/>
          <w:lang w:eastAsia="en-US"/>
        </w:rPr>
        <w:t xml:space="preserve">Bude zřejmé, kdo je vlastníkem dodavatele veřejné zakázky, </w:t>
      </w:r>
      <w:r w:rsidR="009710FD" w:rsidRPr="007F3D2B">
        <w:rPr>
          <w:rFonts w:ascii="Arial" w:hAnsi="Arial" w:cs="Arial"/>
          <w:sz w:val="20"/>
          <w:szCs w:val="20"/>
          <w:lang w:eastAsia="en-US"/>
        </w:rPr>
        <w:t xml:space="preserve">a </w:t>
      </w:r>
      <w:r w:rsidR="005A4FFA" w:rsidRPr="007F3D2B">
        <w:rPr>
          <w:rFonts w:ascii="Arial" w:hAnsi="Arial" w:cs="Arial"/>
          <w:sz w:val="20"/>
          <w:szCs w:val="20"/>
          <w:lang w:eastAsia="en-US"/>
        </w:rPr>
        <w:t xml:space="preserve">v důsledku </w:t>
      </w:r>
      <w:r w:rsidR="00B60174">
        <w:rPr>
          <w:rFonts w:ascii="Arial" w:hAnsi="Arial" w:cs="Arial"/>
          <w:sz w:val="20"/>
          <w:szCs w:val="20"/>
          <w:lang w:eastAsia="en-US"/>
        </w:rPr>
        <w:t>toho i to</w:t>
      </w:r>
      <w:r w:rsidR="009710FD" w:rsidRPr="007F3D2B">
        <w:rPr>
          <w:rFonts w:ascii="Arial" w:hAnsi="Arial" w:cs="Arial"/>
          <w:sz w:val="20"/>
          <w:szCs w:val="20"/>
          <w:lang w:eastAsia="en-US"/>
        </w:rPr>
        <w:t xml:space="preserve">, </w:t>
      </w:r>
      <w:r w:rsidR="005A4FFA" w:rsidRPr="007F3D2B">
        <w:rPr>
          <w:rFonts w:ascii="Arial" w:hAnsi="Arial" w:cs="Arial"/>
          <w:sz w:val="20"/>
          <w:szCs w:val="20"/>
          <w:lang w:eastAsia="en-US"/>
        </w:rPr>
        <w:t xml:space="preserve">kdo je příjemce veřejných prostředků – tyto informace mohou mít také silný protikorupční charakter. </w:t>
      </w:r>
    </w:p>
    <w:p w:rsidR="00364281" w:rsidRPr="007F3D2B" w:rsidRDefault="00364281" w:rsidP="007F3D2B">
      <w:pPr>
        <w:spacing w:before="120" w:line="276" w:lineRule="auto"/>
        <w:jc w:val="both"/>
        <w:rPr>
          <w:rFonts w:ascii="Arial" w:hAnsi="Arial" w:cs="Arial"/>
          <w:b/>
          <w:color w:val="000000"/>
          <w:sz w:val="20"/>
          <w:szCs w:val="20"/>
          <w:shd w:val="clear" w:color="auto" w:fill="FFFFFF"/>
        </w:rPr>
      </w:pPr>
    </w:p>
    <w:p w:rsidR="00364281" w:rsidRPr="007F3D2B" w:rsidRDefault="00364281" w:rsidP="007F3D2B">
      <w:pPr>
        <w:spacing w:before="120" w:line="276" w:lineRule="auto"/>
        <w:jc w:val="both"/>
        <w:rPr>
          <w:rFonts w:ascii="Arial" w:hAnsi="Arial" w:cs="Arial"/>
          <w:b/>
          <w:color w:val="000000"/>
          <w:sz w:val="20"/>
          <w:szCs w:val="20"/>
          <w:shd w:val="clear" w:color="auto" w:fill="FFFFFF"/>
        </w:rPr>
      </w:pPr>
      <w:r w:rsidRPr="007F3D2B">
        <w:rPr>
          <w:rFonts w:ascii="Arial" w:hAnsi="Arial" w:cs="Arial"/>
          <w:b/>
          <w:color w:val="000000"/>
          <w:sz w:val="20"/>
          <w:szCs w:val="20"/>
          <w:shd w:val="clear" w:color="auto" w:fill="FFFFFF"/>
        </w:rPr>
        <w:t xml:space="preserve">Varianta 3 – </w:t>
      </w:r>
      <w:r w:rsidR="00B60174">
        <w:rPr>
          <w:rFonts w:ascii="Arial" w:hAnsi="Arial" w:cs="Arial"/>
          <w:b/>
          <w:color w:val="000000"/>
          <w:sz w:val="20"/>
          <w:szCs w:val="20"/>
          <w:shd w:val="clear" w:color="auto" w:fill="FFFFFF"/>
        </w:rPr>
        <w:t>speciální</w:t>
      </w:r>
      <w:r w:rsidRPr="007F3D2B">
        <w:rPr>
          <w:rFonts w:ascii="Arial" w:hAnsi="Arial" w:cs="Arial"/>
          <w:b/>
          <w:color w:val="000000"/>
          <w:sz w:val="20"/>
          <w:szCs w:val="20"/>
          <w:shd w:val="clear" w:color="auto" w:fill="FFFFFF"/>
        </w:rPr>
        <w:t xml:space="preserve"> zákon</w:t>
      </w:r>
    </w:p>
    <w:p w:rsidR="00364281" w:rsidRPr="007F3D2B" w:rsidRDefault="00364281" w:rsidP="007F3D2B">
      <w:pPr>
        <w:spacing w:before="120" w:line="276" w:lineRule="auto"/>
        <w:jc w:val="both"/>
        <w:rPr>
          <w:rFonts w:ascii="Arial" w:hAnsi="Arial" w:cs="Arial"/>
          <w:b/>
          <w:color w:val="000000"/>
          <w:sz w:val="20"/>
          <w:szCs w:val="20"/>
          <w:shd w:val="clear" w:color="auto" w:fill="FFFFFF"/>
        </w:rPr>
      </w:pPr>
    </w:p>
    <w:p w:rsidR="00D852E5" w:rsidRPr="007F3D2B" w:rsidRDefault="008D64A9"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Popis</w:t>
      </w:r>
      <w:r w:rsidR="00364281" w:rsidRPr="007F3D2B">
        <w:rPr>
          <w:rFonts w:ascii="Arial" w:hAnsi="Arial" w:cs="Arial"/>
          <w:sz w:val="20"/>
          <w:szCs w:val="20"/>
          <w:lang w:eastAsia="en-US"/>
        </w:rPr>
        <w:t xml:space="preserve">: </w:t>
      </w:r>
    </w:p>
    <w:p w:rsidR="00364281" w:rsidRPr="007F3D2B" w:rsidRDefault="00642A2C"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Upravit tuto problematiku ve speciálním zákon</w:t>
      </w:r>
      <w:r w:rsidR="00D852E5" w:rsidRPr="007F3D2B">
        <w:rPr>
          <w:rFonts w:ascii="Arial" w:hAnsi="Arial" w:cs="Arial"/>
          <w:sz w:val="20"/>
          <w:szCs w:val="20"/>
          <w:lang w:eastAsia="en-US"/>
        </w:rPr>
        <w:t>ě</w:t>
      </w:r>
      <w:r w:rsidRPr="007F3D2B">
        <w:rPr>
          <w:rFonts w:ascii="Arial" w:hAnsi="Arial" w:cs="Arial"/>
          <w:sz w:val="20"/>
          <w:szCs w:val="20"/>
          <w:lang w:eastAsia="en-US"/>
        </w:rPr>
        <w:t xml:space="preserve"> </w:t>
      </w:r>
      <w:r w:rsidR="00E11375">
        <w:rPr>
          <w:rFonts w:ascii="Arial" w:hAnsi="Arial" w:cs="Arial"/>
          <w:sz w:val="20"/>
          <w:szCs w:val="20"/>
          <w:lang w:eastAsia="en-US"/>
        </w:rPr>
        <w:t>je považováno</w:t>
      </w:r>
      <w:r w:rsidRPr="007F3D2B">
        <w:rPr>
          <w:rFonts w:ascii="Arial" w:hAnsi="Arial" w:cs="Arial"/>
          <w:sz w:val="20"/>
          <w:szCs w:val="20"/>
          <w:lang w:eastAsia="en-US"/>
        </w:rPr>
        <w:t xml:space="preserve"> za ideální řešení problému. Přípravu </w:t>
      </w:r>
      <w:r w:rsidR="00B60174">
        <w:rPr>
          <w:rFonts w:ascii="Arial" w:hAnsi="Arial" w:cs="Arial"/>
          <w:sz w:val="20"/>
          <w:szCs w:val="20"/>
          <w:lang w:eastAsia="en-US"/>
        </w:rPr>
        <w:t>speciálního</w:t>
      </w:r>
      <w:r w:rsidRPr="007F3D2B">
        <w:rPr>
          <w:rFonts w:ascii="Arial" w:hAnsi="Arial" w:cs="Arial"/>
          <w:sz w:val="20"/>
          <w:szCs w:val="20"/>
          <w:lang w:eastAsia="en-US"/>
        </w:rPr>
        <w:t xml:space="preserve"> zákon</w:t>
      </w:r>
      <w:r w:rsidR="00D852E5" w:rsidRPr="007F3D2B">
        <w:rPr>
          <w:rFonts w:ascii="Arial" w:hAnsi="Arial" w:cs="Arial"/>
          <w:sz w:val="20"/>
          <w:szCs w:val="20"/>
          <w:lang w:eastAsia="en-US"/>
        </w:rPr>
        <w:t>a</w:t>
      </w:r>
      <w:r w:rsidRPr="007F3D2B">
        <w:rPr>
          <w:rFonts w:ascii="Arial" w:hAnsi="Arial" w:cs="Arial"/>
          <w:sz w:val="20"/>
          <w:szCs w:val="20"/>
          <w:lang w:eastAsia="en-US"/>
        </w:rPr>
        <w:t xml:space="preserve"> má v gesci ministerstvo spravedlnosti a spolugesce tohoto zákona je pak stanovena MMR. Jelikož vlastnická struktura akciových společností </w:t>
      </w:r>
      <w:r w:rsidR="005A4FFA" w:rsidRPr="007F3D2B">
        <w:rPr>
          <w:rFonts w:ascii="Arial" w:hAnsi="Arial" w:cs="Arial"/>
          <w:sz w:val="20"/>
          <w:szCs w:val="20"/>
          <w:lang w:eastAsia="en-US"/>
        </w:rPr>
        <w:t xml:space="preserve">je samostatnou problematikou, která zasahuje do více oblastí právní úpravy a </w:t>
      </w:r>
      <w:r w:rsidRPr="007F3D2B">
        <w:rPr>
          <w:rFonts w:ascii="Arial" w:hAnsi="Arial" w:cs="Arial"/>
          <w:sz w:val="20"/>
          <w:szCs w:val="20"/>
          <w:lang w:eastAsia="en-US"/>
        </w:rPr>
        <w:t>s procesem zadávání veřejných zakázek</w:t>
      </w:r>
      <w:r w:rsidR="005A4FFA" w:rsidRPr="007F3D2B">
        <w:rPr>
          <w:rFonts w:ascii="Arial" w:hAnsi="Arial" w:cs="Arial"/>
          <w:sz w:val="20"/>
          <w:szCs w:val="20"/>
          <w:lang w:eastAsia="en-US"/>
        </w:rPr>
        <w:t xml:space="preserve"> souvisí</w:t>
      </w:r>
      <w:r w:rsidRPr="007F3D2B">
        <w:rPr>
          <w:rFonts w:ascii="Arial" w:hAnsi="Arial" w:cs="Arial"/>
          <w:sz w:val="20"/>
          <w:szCs w:val="20"/>
          <w:lang w:eastAsia="en-US"/>
        </w:rPr>
        <w:t xml:space="preserve"> pouze vzdáleně</w:t>
      </w:r>
      <w:r w:rsidR="006E41FE" w:rsidRPr="007F3D2B">
        <w:rPr>
          <w:rFonts w:ascii="Arial" w:hAnsi="Arial" w:cs="Arial"/>
          <w:sz w:val="20"/>
          <w:szCs w:val="20"/>
          <w:lang w:eastAsia="en-US"/>
        </w:rPr>
        <w:t>,</w:t>
      </w:r>
      <w:r w:rsidRPr="007F3D2B">
        <w:rPr>
          <w:rFonts w:ascii="Arial" w:hAnsi="Arial" w:cs="Arial"/>
          <w:sz w:val="20"/>
          <w:szCs w:val="20"/>
          <w:lang w:eastAsia="en-US"/>
        </w:rPr>
        <w:t xml:space="preserve"> neměla by být primárně řešena v ZVZ. </w:t>
      </w:r>
    </w:p>
    <w:p w:rsidR="00364281" w:rsidRPr="007F3D2B" w:rsidRDefault="00364281" w:rsidP="007F3D2B">
      <w:pPr>
        <w:spacing w:before="120" w:line="276" w:lineRule="auto"/>
        <w:jc w:val="both"/>
        <w:rPr>
          <w:rFonts w:ascii="Arial" w:hAnsi="Arial" w:cs="Arial"/>
          <w:sz w:val="20"/>
          <w:szCs w:val="20"/>
          <w:lang w:eastAsia="en-US"/>
        </w:rPr>
      </w:pPr>
    </w:p>
    <w:p w:rsidR="007508C4" w:rsidRDefault="006E41FE"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Rizika</w:t>
      </w:r>
      <w:r w:rsidR="005A4FFA" w:rsidRPr="007F3D2B">
        <w:rPr>
          <w:rFonts w:ascii="Arial" w:hAnsi="Arial" w:cs="Arial"/>
          <w:sz w:val="20"/>
          <w:szCs w:val="20"/>
          <w:lang w:eastAsia="en-US"/>
        </w:rPr>
        <w:t xml:space="preserve"> a </w:t>
      </w:r>
      <w:r w:rsidR="007508C4">
        <w:rPr>
          <w:rFonts w:ascii="Arial" w:hAnsi="Arial" w:cs="Arial"/>
          <w:sz w:val="20"/>
          <w:szCs w:val="20"/>
          <w:lang w:eastAsia="en-US"/>
        </w:rPr>
        <w:t>přínosy:</w:t>
      </w:r>
    </w:p>
    <w:p w:rsidR="00364281" w:rsidRPr="007F3D2B" w:rsidRDefault="006E41FE"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Ne</w:t>
      </w:r>
      <w:r w:rsidR="00E11375">
        <w:rPr>
          <w:rFonts w:ascii="Arial" w:hAnsi="Arial" w:cs="Arial"/>
          <w:sz w:val="20"/>
          <w:szCs w:val="20"/>
          <w:lang w:eastAsia="en-US"/>
        </w:rPr>
        <w:t>jsou spatřována</w:t>
      </w:r>
      <w:r w:rsidRPr="007F3D2B">
        <w:rPr>
          <w:rFonts w:ascii="Arial" w:hAnsi="Arial" w:cs="Arial"/>
          <w:sz w:val="20"/>
          <w:szCs w:val="20"/>
          <w:lang w:eastAsia="en-US"/>
        </w:rPr>
        <w:t xml:space="preserve"> žádná rizika tohoto řešení.</w:t>
      </w:r>
      <w:r w:rsidR="005A4FFA" w:rsidRPr="007F3D2B">
        <w:rPr>
          <w:rFonts w:ascii="Arial" w:hAnsi="Arial" w:cs="Arial"/>
          <w:sz w:val="20"/>
          <w:szCs w:val="20"/>
          <w:lang w:eastAsia="en-US"/>
        </w:rPr>
        <w:t xml:space="preserve"> Samostatný zákon by umožnil komplexní řešení problému, které je z pohledu předkladatele žádoucí.</w:t>
      </w:r>
    </w:p>
    <w:p w:rsidR="00364281" w:rsidRPr="007F3D2B" w:rsidRDefault="00364281" w:rsidP="007F3D2B">
      <w:pPr>
        <w:spacing w:before="120" w:line="276" w:lineRule="auto"/>
        <w:jc w:val="both"/>
        <w:rPr>
          <w:rFonts w:ascii="Arial" w:hAnsi="Arial" w:cs="Arial"/>
          <w:sz w:val="20"/>
          <w:szCs w:val="20"/>
          <w:lang w:eastAsia="en-US"/>
        </w:rPr>
      </w:pPr>
    </w:p>
    <w:p w:rsidR="007508C4" w:rsidRDefault="00364281"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Závěr:</w:t>
      </w:r>
    </w:p>
    <w:p w:rsidR="00364281" w:rsidRPr="007F3D2B" w:rsidRDefault="005A4FFA" w:rsidP="007F3D2B">
      <w:pPr>
        <w:spacing w:before="120" w:line="276" w:lineRule="auto"/>
        <w:jc w:val="both"/>
        <w:rPr>
          <w:rFonts w:ascii="Arial" w:hAnsi="Arial" w:cs="Arial"/>
          <w:sz w:val="20"/>
          <w:szCs w:val="20"/>
          <w:lang w:eastAsia="en-US"/>
        </w:rPr>
      </w:pPr>
      <w:r w:rsidRPr="007F3D2B">
        <w:rPr>
          <w:rFonts w:ascii="Arial" w:hAnsi="Arial" w:cs="Arial"/>
          <w:sz w:val="20"/>
          <w:szCs w:val="20"/>
          <w:lang w:eastAsia="en-US"/>
        </w:rPr>
        <w:t>Předkladatel primárně doporučuje přijetí varianty 3, v případě že tato nebude přijata, jeví se pak jako přijatelné, z pohledu předkladatele však nesystematické</w:t>
      </w:r>
      <w:r w:rsidR="002C473E" w:rsidRPr="007F3D2B">
        <w:rPr>
          <w:rFonts w:ascii="Arial" w:hAnsi="Arial" w:cs="Arial"/>
          <w:sz w:val="20"/>
          <w:szCs w:val="20"/>
          <w:lang w:eastAsia="en-US"/>
        </w:rPr>
        <w:t>,</w:t>
      </w:r>
      <w:r w:rsidRPr="007F3D2B">
        <w:rPr>
          <w:rFonts w:ascii="Arial" w:hAnsi="Arial" w:cs="Arial"/>
          <w:sz w:val="20"/>
          <w:szCs w:val="20"/>
          <w:lang w:eastAsia="en-US"/>
        </w:rPr>
        <w:t xml:space="preserve"> řešení </w:t>
      </w:r>
      <w:r w:rsidR="00B60174">
        <w:rPr>
          <w:rFonts w:ascii="Arial" w:hAnsi="Arial" w:cs="Arial"/>
          <w:sz w:val="20"/>
          <w:szCs w:val="20"/>
          <w:lang w:eastAsia="en-US"/>
        </w:rPr>
        <w:t>ve variantě</w:t>
      </w:r>
      <w:r w:rsidRPr="007F3D2B">
        <w:rPr>
          <w:rFonts w:ascii="Arial" w:hAnsi="Arial" w:cs="Arial"/>
          <w:sz w:val="20"/>
          <w:szCs w:val="20"/>
          <w:lang w:eastAsia="en-US"/>
        </w:rPr>
        <w:t xml:space="preserve"> 2. </w:t>
      </w:r>
    </w:p>
    <w:p w:rsidR="00364281" w:rsidRPr="007F3D2B" w:rsidRDefault="00364281" w:rsidP="007F3D2B">
      <w:pPr>
        <w:spacing w:before="120" w:line="276" w:lineRule="auto"/>
        <w:jc w:val="both"/>
        <w:rPr>
          <w:rFonts w:ascii="Arial" w:hAnsi="Arial" w:cs="Arial"/>
          <w:b/>
          <w:color w:val="000000"/>
          <w:sz w:val="20"/>
          <w:szCs w:val="20"/>
          <w:shd w:val="clear" w:color="auto" w:fill="FFFFFF"/>
        </w:rPr>
      </w:pPr>
    </w:p>
    <w:p w:rsidR="00227E12" w:rsidRPr="007F3D2B" w:rsidRDefault="00227E12" w:rsidP="007F3D2B">
      <w:pPr>
        <w:spacing w:before="120" w:line="276" w:lineRule="auto"/>
        <w:jc w:val="both"/>
        <w:rPr>
          <w:rFonts w:ascii="Arial" w:hAnsi="Arial" w:cs="Arial"/>
          <w:b/>
          <w:color w:val="000000"/>
          <w:sz w:val="20"/>
          <w:szCs w:val="20"/>
          <w:shd w:val="clear" w:color="auto" w:fill="FFFFFF"/>
        </w:rPr>
      </w:pPr>
    </w:p>
    <w:p w:rsidR="00B807A5" w:rsidRPr="007F3D2B" w:rsidRDefault="00B807A5" w:rsidP="007F3D2B">
      <w:pPr>
        <w:pStyle w:val="Odstavecseseznamem"/>
        <w:numPr>
          <w:ilvl w:val="0"/>
          <w:numId w:val="11"/>
        </w:numPr>
        <w:spacing w:before="120" w:line="276" w:lineRule="auto"/>
        <w:rPr>
          <w:rFonts w:ascii="Arial" w:hAnsi="Arial" w:cs="Arial"/>
          <w:b/>
          <w:color w:val="000000"/>
          <w:sz w:val="20"/>
          <w:shd w:val="clear" w:color="auto" w:fill="FFFFFF"/>
        </w:rPr>
      </w:pPr>
      <w:r w:rsidRPr="007F3D2B">
        <w:rPr>
          <w:rFonts w:ascii="Arial" w:hAnsi="Arial" w:cs="Arial"/>
          <w:b/>
          <w:color w:val="000000"/>
          <w:sz w:val="20"/>
          <w:shd w:val="clear" w:color="auto" w:fill="FFFFFF"/>
        </w:rPr>
        <w:t>Návrh řešení</w:t>
      </w:r>
    </w:p>
    <w:p w:rsidR="00B807A5" w:rsidRPr="007F3D2B" w:rsidRDefault="008C41F2" w:rsidP="007F3D2B">
      <w:p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3</w:t>
      </w:r>
      <w:r w:rsidR="007C5728" w:rsidRPr="007F3D2B">
        <w:rPr>
          <w:rFonts w:ascii="Arial" w:hAnsi="Arial" w:cs="Arial"/>
          <w:color w:val="000000"/>
          <w:sz w:val="20"/>
          <w:szCs w:val="20"/>
          <w:shd w:val="clear" w:color="auto" w:fill="FFFFFF"/>
        </w:rPr>
        <w:t>.1</w:t>
      </w:r>
      <w:r w:rsidR="007C5728" w:rsidRPr="007F3D2B">
        <w:rPr>
          <w:rFonts w:ascii="Arial" w:hAnsi="Arial" w:cs="Arial"/>
          <w:color w:val="000000"/>
          <w:sz w:val="20"/>
          <w:szCs w:val="20"/>
          <w:shd w:val="clear" w:color="auto" w:fill="FFFFFF"/>
        </w:rPr>
        <w:tab/>
        <w:t>Stanovení pořadí variant a výběr nejvhodnějšího řešení</w:t>
      </w:r>
    </w:p>
    <w:p w:rsidR="007C59DB" w:rsidRPr="007F3D2B" w:rsidRDefault="007C59DB" w:rsidP="007F3D2B">
      <w:pPr>
        <w:spacing w:before="120" w:line="276" w:lineRule="auto"/>
        <w:jc w:val="both"/>
        <w:rPr>
          <w:rFonts w:ascii="Arial" w:hAnsi="Arial" w:cs="Arial"/>
          <w:color w:val="000000"/>
          <w:sz w:val="20"/>
          <w:szCs w:val="20"/>
          <w:shd w:val="clear" w:color="auto" w:fill="FFFFFF"/>
        </w:rPr>
      </w:pPr>
    </w:p>
    <w:p w:rsidR="00965843" w:rsidRPr="007F3D2B" w:rsidRDefault="00965843" w:rsidP="007F3D2B">
      <w:pPr>
        <w:numPr>
          <w:ilvl w:val="0"/>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 xml:space="preserve">Limity </w:t>
      </w:r>
    </w:p>
    <w:p w:rsidR="00965843" w:rsidRPr="007F3D2B" w:rsidRDefault="00965843" w:rsidP="007F3D2B">
      <w:pPr>
        <w:numPr>
          <w:ilvl w:val="1"/>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Veřejné zakázky malého rozsahu</w:t>
      </w:r>
    </w:p>
    <w:p w:rsidR="00965843" w:rsidRPr="007F3D2B" w:rsidRDefault="00965843" w:rsidP="007F3D2B">
      <w:pPr>
        <w:spacing w:before="120" w:line="276" w:lineRule="auto"/>
        <w:jc w:val="both"/>
        <w:rPr>
          <w:rFonts w:ascii="Arial" w:hAnsi="Arial" w:cs="Arial"/>
          <w:color w:val="000000"/>
          <w:sz w:val="20"/>
          <w:szCs w:val="20"/>
          <w:u w:val="single"/>
          <w:shd w:val="clear" w:color="auto" w:fill="FFFFFF"/>
        </w:rPr>
      </w:pPr>
      <w:r w:rsidRPr="007F3D2B">
        <w:rPr>
          <w:rFonts w:ascii="Arial" w:hAnsi="Arial" w:cs="Arial"/>
          <w:color w:val="000000"/>
          <w:sz w:val="20"/>
          <w:szCs w:val="20"/>
          <w:u w:val="single"/>
          <w:shd w:val="clear" w:color="auto" w:fill="FFFFFF"/>
        </w:rPr>
        <w:t>Pro prahové hodnoty veřejných zakázek malého rozsahu navrhuje MMR zachování současného stavu v ZVZ, tedy 2 mil. pro dodávky a služby, 6 mil. Kč pro stavební práce.</w:t>
      </w:r>
    </w:p>
    <w:p w:rsidR="00965843" w:rsidRPr="007F3D2B" w:rsidRDefault="00965843" w:rsidP="007F3D2B">
      <w:pPr>
        <w:numPr>
          <w:ilvl w:val="1"/>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Zjednodušené podlimitní řízení</w:t>
      </w:r>
    </w:p>
    <w:p w:rsidR="00965843" w:rsidRPr="007F3D2B" w:rsidRDefault="00965843" w:rsidP="007F3D2B">
      <w:p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 xml:space="preserve">Současné rozmezí finančních limitů pro použití zjednodušeného podlimitního řízení u dodávek a služeb je 2 mil. Kč – 3,2 mil. Kč u České republiky a 2 mil. Kč – 5 mil. Kč u samospráv, u stavebních prací je horním limitem 10 mil. Kč pro všechny veřejné zadavatele. Horní hranice u dodávek a služeb odpovídá hranici pro nadlimitní veřejné zakázky a vyplývá z nařízení </w:t>
      </w:r>
      <w:r w:rsidR="00D852E5" w:rsidRPr="007F3D2B">
        <w:rPr>
          <w:rFonts w:ascii="Arial" w:hAnsi="Arial" w:cs="Arial"/>
          <w:color w:val="000000"/>
          <w:sz w:val="20"/>
          <w:szCs w:val="20"/>
          <w:shd w:val="clear" w:color="auto" w:fill="FFFFFF"/>
        </w:rPr>
        <w:t>E</w:t>
      </w:r>
      <w:r w:rsidRPr="007F3D2B">
        <w:rPr>
          <w:rFonts w:ascii="Arial" w:hAnsi="Arial" w:cs="Arial"/>
          <w:color w:val="000000"/>
          <w:sz w:val="20"/>
          <w:szCs w:val="20"/>
          <w:shd w:val="clear" w:color="auto" w:fill="FFFFFF"/>
        </w:rPr>
        <w:t xml:space="preserve">vropské </w:t>
      </w:r>
      <w:r w:rsidR="00D852E5" w:rsidRPr="007F3D2B">
        <w:rPr>
          <w:rFonts w:ascii="Arial" w:hAnsi="Arial" w:cs="Arial"/>
          <w:color w:val="000000"/>
          <w:sz w:val="20"/>
          <w:szCs w:val="20"/>
          <w:shd w:val="clear" w:color="auto" w:fill="FFFFFF"/>
        </w:rPr>
        <w:t>k</w:t>
      </w:r>
      <w:r w:rsidRPr="007F3D2B">
        <w:rPr>
          <w:rFonts w:ascii="Arial" w:hAnsi="Arial" w:cs="Arial"/>
          <w:color w:val="000000"/>
          <w:sz w:val="20"/>
          <w:szCs w:val="20"/>
          <w:shd w:val="clear" w:color="auto" w:fill="FFFFFF"/>
        </w:rPr>
        <w:t xml:space="preserve">omise. Hranice 10 mil. Kč pro stavební práce je stanovena současným zákonem, její maximální potenciální výše odpovídá limitům pro nadlimitní veřejné zakázky, která podle </w:t>
      </w:r>
      <w:r w:rsidR="009E4470" w:rsidRPr="007F3D2B">
        <w:rPr>
          <w:rFonts w:ascii="Arial" w:hAnsi="Arial" w:cs="Arial"/>
          <w:color w:val="000000"/>
          <w:sz w:val="20"/>
          <w:szCs w:val="20"/>
          <w:shd w:val="clear" w:color="auto" w:fill="FFFFFF"/>
        </w:rPr>
        <w:t>E</w:t>
      </w:r>
      <w:r w:rsidRPr="007F3D2B">
        <w:rPr>
          <w:rFonts w:ascii="Arial" w:hAnsi="Arial" w:cs="Arial"/>
          <w:color w:val="000000"/>
          <w:sz w:val="20"/>
          <w:szCs w:val="20"/>
          <w:shd w:val="clear" w:color="auto" w:fill="FFFFFF"/>
        </w:rPr>
        <w:t xml:space="preserve">vropské </w:t>
      </w:r>
      <w:r w:rsidR="009E4470" w:rsidRPr="007F3D2B">
        <w:rPr>
          <w:rFonts w:ascii="Arial" w:hAnsi="Arial" w:cs="Arial"/>
          <w:color w:val="000000"/>
          <w:sz w:val="20"/>
          <w:szCs w:val="20"/>
          <w:shd w:val="clear" w:color="auto" w:fill="FFFFFF"/>
        </w:rPr>
        <w:t>k</w:t>
      </w:r>
      <w:r w:rsidRPr="007F3D2B">
        <w:rPr>
          <w:rFonts w:ascii="Arial" w:hAnsi="Arial" w:cs="Arial"/>
          <w:color w:val="000000"/>
          <w:sz w:val="20"/>
          <w:szCs w:val="20"/>
          <w:shd w:val="clear" w:color="auto" w:fill="FFFFFF"/>
        </w:rPr>
        <w:t xml:space="preserve">omise tvoří 131 mil. Kč. </w:t>
      </w:r>
    </w:p>
    <w:p w:rsidR="00965843" w:rsidRPr="007F3D2B" w:rsidRDefault="00965843" w:rsidP="007F3D2B">
      <w:pPr>
        <w:spacing w:before="120" w:line="276" w:lineRule="auto"/>
        <w:jc w:val="both"/>
        <w:rPr>
          <w:rFonts w:ascii="Arial" w:hAnsi="Arial" w:cs="Arial"/>
          <w:color w:val="000000"/>
          <w:sz w:val="20"/>
          <w:szCs w:val="20"/>
          <w:u w:val="single"/>
          <w:shd w:val="clear" w:color="auto" w:fill="FFFFFF"/>
        </w:rPr>
      </w:pPr>
      <w:r w:rsidRPr="007F3D2B">
        <w:rPr>
          <w:rFonts w:ascii="Arial" w:hAnsi="Arial" w:cs="Arial"/>
          <w:color w:val="000000"/>
          <w:sz w:val="20"/>
          <w:szCs w:val="20"/>
          <w:u w:val="single"/>
          <w:shd w:val="clear" w:color="auto" w:fill="FFFFFF"/>
        </w:rPr>
        <w:lastRenderedPageBreak/>
        <w:t>MMR navrhuje v NZVZ limit pro použitelnost zjednodušeného řízení zvýšit na 50 mil. Kč.</w:t>
      </w:r>
    </w:p>
    <w:p w:rsidR="00965843" w:rsidRPr="007F3D2B" w:rsidRDefault="00965843" w:rsidP="007F3D2B">
      <w:pPr>
        <w:spacing w:before="120" w:line="276" w:lineRule="auto"/>
        <w:jc w:val="both"/>
        <w:rPr>
          <w:rFonts w:ascii="Arial" w:hAnsi="Arial" w:cs="Arial"/>
          <w:color w:val="000000"/>
          <w:sz w:val="20"/>
          <w:szCs w:val="20"/>
          <w:shd w:val="clear" w:color="auto" w:fill="FFFFFF"/>
        </w:rPr>
      </w:pPr>
    </w:p>
    <w:p w:rsidR="00965843" w:rsidRPr="007F3D2B" w:rsidRDefault="00965843" w:rsidP="007F3D2B">
      <w:pPr>
        <w:numPr>
          <w:ilvl w:val="0"/>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Výjimky z postupu</w:t>
      </w:r>
    </w:p>
    <w:p w:rsidR="00965843" w:rsidRPr="007F3D2B" w:rsidRDefault="00965843" w:rsidP="007F3D2B">
      <w:p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ZVZ rozlišuje výjimky obecné (vycházejí z evropského práva), výjimky pro veřejné zakázky v oblasti obrany a bezpečnosti (vycházejí také z evropského práva)</w:t>
      </w:r>
      <w:r w:rsidR="00210176" w:rsidRPr="007F3D2B">
        <w:rPr>
          <w:rFonts w:ascii="Arial" w:hAnsi="Arial" w:cs="Arial"/>
          <w:color w:val="000000"/>
          <w:sz w:val="20"/>
          <w:szCs w:val="20"/>
          <w:shd w:val="clear" w:color="auto" w:fill="FFFFFF"/>
        </w:rPr>
        <w:t xml:space="preserve"> a</w:t>
      </w:r>
      <w:r w:rsidRPr="007F3D2B">
        <w:rPr>
          <w:rFonts w:ascii="Arial" w:hAnsi="Arial" w:cs="Arial"/>
          <w:color w:val="000000"/>
          <w:sz w:val="20"/>
          <w:szCs w:val="20"/>
          <w:shd w:val="clear" w:color="auto" w:fill="FFFFFF"/>
        </w:rPr>
        <w:t xml:space="preserve"> výjimky pouze pro podlimitní veřejné zakázky (podlimitní oblast není regulována směrnicemi, lze tedy v rámci národní úpravy stanovit podle vůle členského státu) a výjimk</w:t>
      </w:r>
      <w:r w:rsidR="00210176" w:rsidRPr="007F3D2B">
        <w:rPr>
          <w:rFonts w:ascii="Arial" w:hAnsi="Arial" w:cs="Arial"/>
          <w:color w:val="000000"/>
          <w:sz w:val="20"/>
          <w:szCs w:val="20"/>
          <w:shd w:val="clear" w:color="auto" w:fill="FFFFFF"/>
        </w:rPr>
        <w:t>y</w:t>
      </w:r>
      <w:r w:rsidRPr="007F3D2B">
        <w:rPr>
          <w:rFonts w:ascii="Arial" w:hAnsi="Arial" w:cs="Arial"/>
          <w:color w:val="000000"/>
          <w:sz w:val="20"/>
          <w:szCs w:val="20"/>
          <w:shd w:val="clear" w:color="auto" w:fill="FFFFFF"/>
        </w:rPr>
        <w:t xml:space="preserve"> pro veřejné zakázky malého rozsahu. </w:t>
      </w:r>
    </w:p>
    <w:p w:rsidR="00965843" w:rsidRPr="007F3D2B" w:rsidRDefault="00965843" w:rsidP="007F3D2B">
      <w:pPr>
        <w:spacing w:before="120" w:line="276" w:lineRule="auto"/>
        <w:jc w:val="both"/>
        <w:rPr>
          <w:rFonts w:ascii="Arial" w:hAnsi="Arial" w:cs="Arial"/>
          <w:color w:val="000000"/>
          <w:sz w:val="20"/>
          <w:szCs w:val="20"/>
          <w:u w:val="single"/>
          <w:shd w:val="clear" w:color="auto" w:fill="FFFFFF"/>
        </w:rPr>
      </w:pPr>
      <w:r w:rsidRPr="007F3D2B">
        <w:rPr>
          <w:rFonts w:ascii="Arial" w:hAnsi="Arial" w:cs="Arial"/>
          <w:color w:val="000000"/>
          <w:sz w:val="20"/>
          <w:szCs w:val="20"/>
          <w:u w:val="single"/>
          <w:shd w:val="clear" w:color="auto" w:fill="FFFFFF"/>
        </w:rPr>
        <w:t xml:space="preserve">MMR navrhuje převzít celý katalog nadlimitních výjimek ze směrnic. </w:t>
      </w:r>
    </w:p>
    <w:p w:rsidR="00965843" w:rsidRPr="007F3D2B" w:rsidRDefault="00965843" w:rsidP="007F3D2B">
      <w:pPr>
        <w:spacing w:before="120" w:line="276" w:lineRule="auto"/>
        <w:jc w:val="both"/>
        <w:rPr>
          <w:rFonts w:ascii="Arial" w:hAnsi="Arial" w:cs="Arial"/>
          <w:color w:val="000000"/>
          <w:sz w:val="20"/>
          <w:szCs w:val="20"/>
          <w:u w:val="single"/>
          <w:shd w:val="clear" w:color="auto" w:fill="FFFFFF"/>
        </w:rPr>
      </w:pPr>
      <w:r w:rsidRPr="007F3D2B">
        <w:rPr>
          <w:rFonts w:ascii="Arial" w:hAnsi="Arial" w:cs="Arial"/>
          <w:color w:val="000000"/>
          <w:sz w:val="20"/>
          <w:szCs w:val="20"/>
          <w:u w:val="single"/>
          <w:shd w:val="clear" w:color="auto" w:fill="FFFFFF"/>
        </w:rPr>
        <w:t xml:space="preserve">U podlimitních </w:t>
      </w:r>
      <w:r w:rsidR="00210176" w:rsidRPr="007F3D2B">
        <w:rPr>
          <w:rFonts w:ascii="Arial" w:hAnsi="Arial" w:cs="Arial"/>
          <w:color w:val="000000"/>
          <w:sz w:val="20"/>
          <w:szCs w:val="20"/>
          <w:u w:val="single"/>
          <w:shd w:val="clear" w:color="auto" w:fill="FFFFFF"/>
        </w:rPr>
        <w:t xml:space="preserve">veřejných zakázek </w:t>
      </w:r>
      <w:r w:rsidRPr="007F3D2B">
        <w:rPr>
          <w:rFonts w:ascii="Arial" w:hAnsi="Arial" w:cs="Arial"/>
          <w:color w:val="000000"/>
          <w:sz w:val="20"/>
          <w:szCs w:val="20"/>
          <w:u w:val="single"/>
          <w:shd w:val="clear" w:color="auto" w:fill="FFFFFF"/>
        </w:rPr>
        <w:t xml:space="preserve">navrhuje MMR zachovat také současný stav, nové výjimky lze do NZVZ navrhnout pouze </w:t>
      </w:r>
      <w:r w:rsidR="00DB32F6" w:rsidRPr="007F3D2B">
        <w:rPr>
          <w:rFonts w:ascii="Arial" w:hAnsi="Arial" w:cs="Arial"/>
          <w:color w:val="000000"/>
          <w:sz w:val="20"/>
          <w:szCs w:val="20"/>
          <w:u w:val="single"/>
          <w:shd w:val="clear" w:color="auto" w:fill="FFFFFF"/>
        </w:rPr>
        <w:t>v případě, že by pro to byl dán zá</w:t>
      </w:r>
      <w:r w:rsidR="00557FB4" w:rsidRPr="007F3D2B">
        <w:rPr>
          <w:rFonts w:ascii="Arial" w:hAnsi="Arial" w:cs="Arial"/>
          <w:color w:val="000000"/>
          <w:sz w:val="20"/>
          <w:szCs w:val="20"/>
          <w:u w:val="single"/>
          <w:shd w:val="clear" w:color="auto" w:fill="FFFFFF"/>
        </w:rPr>
        <w:t>sadní důvod, a stanovení nové výji</w:t>
      </w:r>
      <w:r w:rsidR="00DB32F6" w:rsidRPr="007F3D2B">
        <w:rPr>
          <w:rFonts w:ascii="Arial" w:hAnsi="Arial" w:cs="Arial"/>
          <w:color w:val="000000"/>
          <w:sz w:val="20"/>
          <w:szCs w:val="20"/>
          <w:u w:val="single"/>
          <w:shd w:val="clear" w:color="auto" w:fill="FFFFFF"/>
        </w:rPr>
        <w:t xml:space="preserve">mky bylo předem projednáno a </w:t>
      </w:r>
      <w:r w:rsidR="00B60174">
        <w:rPr>
          <w:rFonts w:ascii="Arial" w:hAnsi="Arial" w:cs="Arial"/>
          <w:color w:val="000000"/>
          <w:sz w:val="20"/>
          <w:szCs w:val="20"/>
          <w:u w:val="single"/>
          <w:shd w:val="clear" w:color="auto" w:fill="FFFFFF"/>
        </w:rPr>
        <w:t>schváleno</w:t>
      </w:r>
      <w:r w:rsidR="00DB32F6" w:rsidRPr="007F3D2B">
        <w:rPr>
          <w:rFonts w:ascii="Arial" w:hAnsi="Arial" w:cs="Arial"/>
          <w:color w:val="000000"/>
          <w:sz w:val="20"/>
          <w:szCs w:val="20"/>
          <w:u w:val="single"/>
          <w:shd w:val="clear" w:color="auto" w:fill="FFFFFF"/>
        </w:rPr>
        <w:t xml:space="preserve"> vládou</w:t>
      </w:r>
      <w:r w:rsidR="00557FB4" w:rsidRPr="007F3D2B">
        <w:rPr>
          <w:rFonts w:ascii="Arial" w:hAnsi="Arial" w:cs="Arial"/>
          <w:color w:val="000000"/>
          <w:sz w:val="20"/>
          <w:szCs w:val="20"/>
          <w:u w:val="single"/>
          <w:shd w:val="clear" w:color="auto" w:fill="FFFFFF"/>
        </w:rPr>
        <w:t xml:space="preserve"> v rámci projednání tohoto věcného záměru</w:t>
      </w:r>
      <w:r w:rsidRPr="007F3D2B">
        <w:rPr>
          <w:rFonts w:ascii="Arial" w:hAnsi="Arial" w:cs="Arial"/>
          <w:color w:val="000000"/>
          <w:sz w:val="20"/>
          <w:szCs w:val="20"/>
          <w:u w:val="single"/>
          <w:shd w:val="clear" w:color="auto" w:fill="FFFFFF"/>
        </w:rPr>
        <w:t>.</w:t>
      </w:r>
    </w:p>
    <w:p w:rsidR="00965843" w:rsidRPr="007F3D2B" w:rsidRDefault="00965843" w:rsidP="007F3D2B">
      <w:pPr>
        <w:spacing w:before="120" w:line="276" w:lineRule="auto"/>
        <w:jc w:val="both"/>
        <w:rPr>
          <w:rFonts w:ascii="Arial" w:hAnsi="Arial" w:cs="Arial"/>
          <w:color w:val="000000"/>
          <w:sz w:val="20"/>
          <w:szCs w:val="20"/>
          <w:shd w:val="clear" w:color="auto" w:fill="FFFFFF"/>
        </w:rPr>
      </w:pPr>
    </w:p>
    <w:p w:rsidR="00965843" w:rsidRPr="007F3D2B" w:rsidRDefault="00965843" w:rsidP="007F3D2B">
      <w:pPr>
        <w:numPr>
          <w:ilvl w:val="0"/>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Podlimitní režim</w:t>
      </w:r>
    </w:p>
    <w:p w:rsidR="00965843" w:rsidRPr="007F3D2B" w:rsidRDefault="00965843" w:rsidP="007F3D2B">
      <w:p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V podlimitním režimu může členský stát nastavit pravidla v zásadě nezávisle na evropském právu. Pro zjednodušení podlimitního režimu přicházejí v úvahu následující varianty:</w:t>
      </w:r>
    </w:p>
    <w:p w:rsidR="00965843" w:rsidRPr="007F3D2B" w:rsidRDefault="00965843" w:rsidP="007F3D2B">
      <w:pPr>
        <w:numPr>
          <w:ilvl w:val="1"/>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umožnit prvek jednání ve všech řízeních podle volby zadavatele</w:t>
      </w:r>
    </w:p>
    <w:p w:rsidR="00965843" w:rsidRPr="007F3D2B" w:rsidRDefault="00965843" w:rsidP="007F3D2B">
      <w:pPr>
        <w:numPr>
          <w:ilvl w:val="2"/>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bez stanovení podmínek</w:t>
      </w:r>
    </w:p>
    <w:p w:rsidR="00965843" w:rsidRPr="007F3D2B" w:rsidRDefault="00965843" w:rsidP="007F3D2B">
      <w:pPr>
        <w:numPr>
          <w:ilvl w:val="2"/>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po naplnění předchozích podmínek</w:t>
      </w:r>
    </w:p>
    <w:p w:rsidR="00965843" w:rsidRPr="007F3D2B" w:rsidRDefault="00965843" w:rsidP="007F3D2B">
      <w:pPr>
        <w:numPr>
          <w:ilvl w:val="1"/>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zachování zjednodušeného podlimitního řízení v současné podobě a u ostatních řízení zjednodušit procesní pravidla, zejména lhůty a systém prokazování kvalifikace</w:t>
      </w:r>
      <w:r w:rsidR="00771FDF" w:rsidRPr="007F3D2B">
        <w:rPr>
          <w:rFonts w:ascii="Arial" w:hAnsi="Arial" w:cs="Arial"/>
          <w:color w:val="000000"/>
          <w:sz w:val="20"/>
          <w:szCs w:val="20"/>
          <w:shd w:val="clear" w:color="auto" w:fill="FFFFFF"/>
        </w:rPr>
        <w:t xml:space="preserve"> a umožnit zadat podlimitní veřejnou zakázku v jednacím řízení s uveřejněním, bez nutnosti splnění dalších podmínek</w:t>
      </w:r>
    </w:p>
    <w:p w:rsidR="00965843" w:rsidRPr="007F3D2B" w:rsidRDefault="00965843" w:rsidP="007F3D2B">
      <w:pPr>
        <w:numPr>
          <w:ilvl w:val="1"/>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umožnit jednání ve zjednodušeném podlimitním řízení</w:t>
      </w:r>
    </w:p>
    <w:p w:rsidR="008D64A9" w:rsidRPr="007F3D2B" w:rsidRDefault="008D64A9" w:rsidP="007F3D2B">
      <w:pPr>
        <w:spacing w:before="120" w:line="276" w:lineRule="auto"/>
        <w:rPr>
          <w:rFonts w:ascii="Arial" w:hAnsi="Arial" w:cs="Arial"/>
          <w:color w:val="000000"/>
          <w:sz w:val="20"/>
          <w:szCs w:val="20"/>
          <w:u w:val="single"/>
          <w:shd w:val="clear" w:color="auto" w:fill="FFFFFF"/>
        </w:rPr>
      </w:pPr>
      <w:r w:rsidRPr="007F3D2B">
        <w:rPr>
          <w:rFonts w:ascii="Arial" w:hAnsi="Arial" w:cs="Arial"/>
          <w:color w:val="000000"/>
          <w:sz w:val="20"/>
          <w:szCs w:val="20"/>
          <w:u w:val="single"/>
          <w:shd w:val="clear" w:color="auto" w:fill="FFFFFF"/>
        </w:rPr>
        <w:t>MMR navrhuje zjednodušit všechna řízení a umožnit zad</w:t>
      </w:r>
      <w:r w:rsidR="00003909">
        <w:rPr>
          <w:rFonts w:ascii="Arial" w:hAnsi="Arial" w:cs="Arial"/>
          <w:color w:val="000000"/>
          <w:sz w:val="20"/>
          <w:szCs w:val="20"/>
          <w:u w:val="single"/>
          <w:shd w:val="clear" w:color="auto" w:fill="FFFFFF"/>
        </w:rPr>
        <w:t xml:space="preserve">ání podlimitní veřejné zakázky </w:t>
      </w:r>
      <w:r w:rsidRPr="007F3D2B">
        <w:rPr>
          <w:rFonts w:ascii="Arial" w:hAnsi="Arial" w:cs="Arial"/>
          <w:color w:val="000000"/>
          <w:sz w:val="20"/>
          <w:szCs w:val="20"/>
          <w:u w:val="single"/>
          <w:shd w:val="clear" w:color="auto" w:fill="FFFFFF"/>
        </w:rPr>
        <w:t>v jednacím řízení s</w:t>
      </w:r>
      <w:r w:rsidR="00003909">
        <w:rPr>
          <w:rFonts w:ascii="Arial" w:hAnsi="Arial" w:cs="Arial"/>
          <w:color w:val="000000"/>
          <w:sz w:val="20"/>
          <w:szCs w:val="20"/>
          <w:u w:val="single"/>
          <w:shd w:val="clear" w:color="auto" w:fill="FFFFFF"/>
        </w:rPr>
        <w:t> </w:t>
      </w:r>
      <w:r w:rsidRPr="007F3D2B">
        <w:rPr>
          <w:rFonts w:ascii="Arial" w:hAnsi="Arial" w:cs="Arial"/>
          <w:color w:val="000000"/>
          <w:sz w:val="20"/>
          <w:szCs w:val="20"/>
          <w:u w:val="single"/>
          <w:shd w:val="clear" w:color="auto" w:fill="FFFFFF"/>
        </w:rPr>
        <w:t>uveřejněním</w:t>
      </w:r>
      <w:r w:rsidR="00003909">
        <w:rPr>
          <w:rFonts w:ascii="Arial" w:hAnsi="Arial" w:cs="Arial"/>
          <w:color w:val="000000"/>
          <w:sz w:val="20"/>
          <w:szCs w:val="20"/>
          <w:u w:val="single"/>
          <w:shd w:val="clear" w:color="auto" w:fill="FFFFFF"/>
        </w:rPr>
        <w:t>,</w:t>
      </w:r>
      <w:r w:rsidRPr="007F3D2B">
        <w:rPr>
          <w:rFonts w:ascii="Arial" w:hAnsi="Arial" w:cs="Arial"/>
          <w:color w:val="000000"/>
          <w:sz w:val="20"/>
          <w:szCs w:val="20"/>
          <w:u w:val="single"/>
          <w:shd w:val="clear" w:color="auto" w:fill="FFFFFF"/>
        </w:rPr>
        <w:t xml:space="preserve"> a to bez nutnosti naplnit předchozí podmínky. </w:t>
      </w:r>
    </w:p>
    <w:p w:rsidR="00965843" w:rsidRPr="007F3D2B" w:rsidRDefault="00965843" w:rsidP="007F3D2B">
      <w:pPr>
        <w:spacing w:before="120" w:line="276" w:lineRule="auto"/>
        <w:jc w:val="both"/>
        <w:rPr>
          <w:rFonts w:ascii="Arial" w:hAnsi="Arial" w:cs="Arial"/>
          <w:color w:val="000000"/>
          <w:sz w:val="20"/>
          <w:szCs w:val="20"/>
          <w:shd w:val="clear" w:color="auto" w:fill="FFFFFF"/>
        </w:rPr>
      </w:pPr>
    </w:p>
    <w:p w:rsidR="00965843" w:rsidRPr="007F3D2B" w:rsidRDefault="00965843" w:rsidP="007F3D2B">
      <w:pPr>
        <w:numPr>
          <w:ilvl w:val="0"/>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Omezování počtu zájemců</w:t>
      </w:r>
    </w:p>
    <w:p w:rsidR="00965843" w:rsidRPr="007F3D2B" w:rsidRDefault="00965843" w:rsidP="007F3D2B">
      <w:p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 xml:space="preserve">Novelizace č. 55/2012 Sb. znemožnila veřejným zadavatelům v užším řízení a jednacím řízení bez uveřejnění omezovat počty zájemců. Směrnice omezování počtu </w:t>
      </w:r>
      <w:r w:rsidR="00366EE1" w:rsidRPr="007F3D2B">
        <w:rPr>
          <w:rFonts w:ascii="Arial" w:hAnsi="Arial" w:cs="Arial"/>
          <w:color w:val="000000"/>
          <w:sz w:val="20"/>
          <w:szCs w:val="20"/>
          <w:shd w:val="clear" w:color="auto" w:fill="FFFFFF"/>
        </w:rPr>
        <w:t xml:space="preserve">zájemců </w:t>
      </w:r>
      <w:r w:rsidRPr="007F3D2B">
        <w:rPr>
          <w:rFonts w:ascii="Arial" w:hAnsi="Arial" w:cs="Arial"/>
          <w:color w:val="000000"/>
          <w:sz w:val="20"/>
          <w:szCs w:val="20"/>
          <w:shd w:val="clear" w:color="auto" w:fill="FFFFFF"/>
        </w:rPr>
        <w:t>reguluje.</w:t>
      </w:r>
    </w:p>
    <w:p w:rsidR="00965843" w:rsidRPr="007F3D2B" w:rsidRDefault="00965843" w:rsidP="007F3D2B">
      <w:p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V užším řízení přicházejí v úvahu následující varianty:</w:t>
      </w:r>
    </w:p>
    <w:p w:rsidR="00965843" w:rsidRPr="007F3D2B" w:rsidRDefault="00965843" w:rsidP="007F3D2B">
      <w:pPr>
        <w:numPr>
          <w:ilvl w:val="1"/>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 xml:space="preserve">omezování </w:t>
      </w:r>
      <w:r w:rsidR="00366EE1" w:rsidRPr="007F3D2B">
        <w:rPr>
          <w:rFonts w:ascii="Arial" w:hAnsi="Arial" w:cs="Arial"/>
          <w:color w:val="000000"/>
          <w:sz w:val="20"/>
          <w:szCs w:val="20"/>
          <w:shd w:val="clear" w:color="auto" w:fill="FFFFFF"/>
        </w:rPr>
        <w:t xml:space="preserve">počtu zájemců </w:t>
      </w:r>
      <w:r w:rsidRPr="007F3D2B">
        <w:rPr>
          <w:rFonts w:ascii="Arial" w:hAnsi="Arial" w:cs="Arial"/>
          <w:color w:val="000000"/>
          <w:sz w:val="20"/>
          <w:szCs w:val="20"/>
          <w:shd w:val="clear" w:color="auto" w:fill="FFFFFF"/>
        </w:rPr>
        <w:t>i nadále zakázat</w:t>
      </w:r>
    </w:p>
    <w:p w:rsidR="00965843" w:rsidRPr="007F3D2B" w:rsidRDefault="00965843" w:rsidP="007F3D2B">
      <w:pPr>
        <w:numPr>
          <w:ilvl w:val="1"/>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 xml:space="preserve">omezování </w:t>
      </w:r>
      <w:r w:rsidR="00366EE1" w:rsidRPr="007F3D2B">
        <w:rPr>
          <w:rFonts w:ascii="Arial" w:hAnsi="Arial" w:cs="Arial"/>
          <w:color w:val="000000"/>
          <w:sz w:val="20"/>
          <w:szCs w:val="20"/>
          <w:shd w:val="clear" w:color="auto" w:fill="FFFFFF"/>
        </w:rPr>
        <w:t xml:space="preserve">počtu zájemců </w:t>
      </w:r>
      <w:r w:rsidRPr="007F3D2B">
        <w:rPr>
          <w:rFonts w:ascii="Arial" w:hAnsi="Arial" w:cs="Arial"/>
          <w:color w:val="000000"/>
          <w:sz w:val="20"/>
          <w:szCs w:val="20"/>
          <w:shd w:val="clear" w:color="auto" w:fill="FFFFFF"/>
        </w:rPr>
        <w:t>povolit</w:t>
      </w:r>
    </w:p>
    <w:p w:rsidR="00965843" w:rsidRPr="007F3D2B" w:rsidRDefault="00965843" w:rsidP="007F3D2B">
      <w:pPr>
        <w:numPr>
          <w:ilvl w:val="2"/>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pouze na základě kritéria vyšší kvalifikace</w:t>
      </w:r>
    </w:p>
    <w:p w:rsidR="00965843" w:rsidRPr="007F3D2B" w:rsidRDefault="00965843" w:rsidP="007F3D2B">
      <w:pPr>
        <w:numPr>
          <w:ilvl w:val="2"/>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losováním se státní garancí</w:t>
      </w:r>
    </w:p>
    <w:p w:rsidR="00965843" w:rsidRPr="007F3D2B" w:rsidRDefault="00965843" w:rsidP="007F3D2B">
      <w:pPr>
        <w:numPr>
          <w:ilvl w:val="2"/>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 xml:space="preserve">na základě kritéria vyšší kvalifikace a losování se státní garancí </w:t>
      </w:r>
    </w:p>
    <w:p w:rsidR="00965843" w:rsidRPr="007F3D2B" w:rsidRDefault="00965843" w:rsidP="007F3D2B">
      <w:p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V jednacím řízení s uveřejněním lze s ohledem na povahu řízení jakožto vyjednávacího procesu omezování umožnit. V tomto případě přicházejí v úvahu varianty z předchozího písmene b.</w:t>
      </w:r>
    </w:p>
    <w:p w:rsidR="00D3604D" w:rsidRPr="007F3D2B" w:rsidRDefault="00D3604D" w:rsidP="007F3D2B">
      <w:pPr>
        <w:spacing w:before="120" w:line="276" w:lineRule="auto"/>
        <w:jc w:val="both"/>
        <w:rPr>
          <w:rFonts w:ascii="Arial" w:hAnsi="Arial" w:cs="Arial"/>
          <w:color w:val="000000"/>
          <w:sz w:val="20"/>
          <w:szCs w:val="20"/>
          <w:u w:val="single"/>
          <w:shd w:val="clear" w:color="auto" w:fill="FFFFFF"/>
        </w:rPr>
      </w:pPr>
      <w:r w:rsidRPr="007F3D2B">
        <w:rPr>
          <w:rFonts w:ascii="Arial" w:hAnsi="Arial" w:cs="Arial"/>
          <w:color w:val="000000"/>
          <w:sz w:val="20"/>
          <w:szCs w:val="20"/>
          <w:u w:val="single"/>
          <w:shd w:val="clear" w:color="auto" w:fill="FFFFFF"/>
        </w:rPr>
        <w:t>MMR navrhuje v užším řízení omezování nepovolovat a v jednacím řízení s uveřejněním omezování povolit, avšak předkladatel doporučuje povolit omezování pouze na základě vyšší kvalifikace.</w:t>
      </w:r>
    </w:p>
    <w:p w:rsidR="00965843" w:rsidRPr="007F3D2B" w:rsidRDefault="00965843" w:rsidP="007F3D2B">
      <w:pPr>
        <w:spacing w:before="120" w:line="276" w:lineRule="auto"/>
        <w:jc w:val="both"/>
        <w:rPr>
          <w:rFonts w:ascii="Arial" w:hAnsi="Arial" w:cs="Arial"/>
          <w:color w:val="000000"/>
          <w:sz w:val="20"/>
          <w:szCs w:val="20"/>
          <w:shd w:val="clear" w:color="auto" w:fill="FFFFFF"/>
        </w:rPr>
      </w:pPr>
    </w:p>
    <w:p w:rsidR="00965843" w:rsidRPr="007F3D2B" w:rsidRDefault="00965843" w:rsidP="007F3D2B">
      <w:pPr>
        <w:numPr>
          <w:ilvl w:val="0"/>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lastRenderedPageBreak/>
        <w:t>Ekonomická kvalifikace</w:t>
      </w:r>
    </w:p>
    <w:p w:rsidR="00965843" w:rsidRPr="007F3D2B" w:rsidRDefault="00965843" w:rsidP="007F3D2B">
      <w:p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 xml:space="preserve">Novelizace č. 55/2012 Sb. fakticky zrušila možnost zadavatele </w:t>
      </w:r>
      <w:r w:rsidR="00366EE1" w:rsidRPr="007F3D2B">
        <w:rPr>
          <w:rFonts w:ascii="Arial" w:hAnsi="Arial" w:cs="Arial"/>
          <w:color w:val="000000"/>
          <w:sz w:val="20"/>
          <w:szCs w:val="20"/>
          <w:shd w:val="clear" w:color="auto" w:fill="FFFFFF"/>
        </w:rPr>
        <w:t xml:space="preserve">požadovat </w:t>
      </w:r>
      <w:r w:rsidRPr="007F3D2B">
        <w:rPr>
          <w:rFonts w:ascii="Arial" w:hAnsi="Arial" w:cs="Arial"/>
          <w:color w:val="000000"/>
          <w:sz w:val="20"/>
          <w:szCs w:val="20"/>
          <w:shd w:val="clear" w:color="auto" w:fill="FFFFFF"/>
        </w:rPr>
        <w:t>ekonomickou kvalifikaci, ta se nyní prokazuje čestným prohlášením. Pro ekonomickou kvalifikaci přicházejí v úvahu následující varianty:</w:t>
      </w:r>
    </w:p>
    <w:p w:rsidR="00965843" w:rsidRPr="007F3D2B" w:rsidRDefault="00965843" w:rsidP="007F3D2B">
      <w:pPr>
        <w:numPr>
          <w:ilvl w:val="1"/>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zachování zákazu používat ekonomickou kvalifikaci včetně zrušení čestného prohlášení</w:t>
      </w:r>
    </w:p>
    <w:p w:rsidR="00965843" w:rsidRPr="007F3D2B" w:rsidRDefault="00965843" w:rsidP="007F3D2B">
      <w:pPr>
        <w:numPr>
          <w:ilvl w:val="1"/>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omezený výčet možností pro kvalifikaci (obrat, pojistná smlouva)</w:t>
      </w:r>
    </w:p>
    <w:p w:rsidR="00965843" w:rsidRPr="007F3D2B" w:rsidRDefault="00965843" w:rsidP="007F3D2B">
      <w:pPr>
        <w:numPr>
          <w:ilvl w:val="1"/>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 xml:space="preserve">neuzavřený výčet možností pro kvalifikaci </w:t>
      </w:r>
    </w:p>
    <w:p w:rsidR="00965843" w:rsidRPr="007F3D2B" w:rsidRDefault="00965843" w:rsidP="007F3D2B">
      <w:pPr>
        <w:spacing w:before="120" w:line="276" w:lineRule="auto"/>
        <w:jc w:val="both"/>
        <w:rPr>
          <w:rFonts w:ascii="Arial" w:hAnsi="Arial" w:cs="Arial"/>
          <w:color w:val="000000"/>
          <w:sz w:val="20"/>
          <w:szCs w:val="20"/>
          <w:u w:val="single"/>
          <w:shd w:val="clear" w:color="auto" w:fill="FFFFFF"/>
        </w:rPr>
      </w:pPr>
      <w:r w:rsidRPr="007F3D2B">
        <w:rPr>
          <w:rFonts w:ascii="Arial" w:hAnsi="Arial" w:cs="Arial"/>
          <w:color w:val="000000"/>
          <w:sz w:val="20"/>
          <w:szCs w:val="20"/>
          <w:u w:val="single"/>
          <w:shd w:val="clear" w:color="auto" w:fill="FFFFFF"/>
        </w:rPr>
        <w:t>MMR navrhuje požadavky na ekonomickou kvalifikaci umožnit prostřednictvím uzavřeného výčtu možností.</w:t>
      </w:r>
    </w:p>
    <w:p w:rsidR="00965843" w:rsidRPr="007F3D2B" w:rsidRDefault="00965843" w:rsidP="007F3D2B">
      <w:pPr>
        <w:spacing w:before="120" w:line="276" w:lineRule="auto"/>
        <w:jc w:val="both"/>
        <w:rPr>
          <w:rFonts w:ascii="Arial" w:hAnsi="Arial" w:cs="Arial"/>
          <w:color w:val="000000"/>
          <w:sz w:val="20"/>
          <w:szCs w:val="20"/>
          <w:shd w:val="clear" w:color="auto" w:fill="FFFFFF"/>
        </w:rPr>
      </w:pPr>
    </w:p>
    <w:p w:rsidR="00965843" w:rsidRPr="007F3D2B" w:rsidRDefault="00965843" w:rsidP="007F3D2B">
      <w:pPr>
        <w:numPr>
          <w:ilvl w:val="0"/>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Mimořádně nízká nabídková cena</w:t>
      </w:r>
    </w:p>
    <w:p w:rsidR="00965843" w:rsidRPr="007F3D2B" w:rsidRDefault="00965843" w:rsidP="007F3D2B">
      <w:p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ZVZ ukládá zadavateli v případě mimořádně nízké nabídkové ceny povinnost vyzvat uchazeče k objasnění. ZVZ nestanovuje žádný vzorec pro stanovení mimořádně nízké ceny. V úvahu přicházejí následující varianty:</w:t>
      </w:r>
    </w:p>
    <w:p w:rsidR="00965843" w:rsidRPr="007F3D2B" w:rsidRDefault="00965843" w:rsidP="007F3D2B">
      <w:pPr>
        <w:numPr>
          <w:ilvl w:val="0"/>
          <w:numId w:val="14"/>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zachování současného stavu</w:t>
      </w:r>
    </w:p>
    <w:p w:rsidR="00965843" w:rsidRPr="007F3D2B" w:rsidRDefault="00965843" w:rsidP="007F3D2B">
      <w:pPr>
        <w:numPr>
          <w:ilvl w:val="0"/>
          <w:numId w:val="14"/>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uzákonit vzorec pro stanovení a zároveň ponechání možnosti individuálního posouzení</w:t>
      </w:r>
    </w:p>
    <w:p w:rsidR="00965843" w:rsidRPr="007F3D2B" w:rsidRDefault="00965843" w:rsidP="007F3D2B">
      <w:pPr>
        <w:spacing w:before="120" w:line="276" w:lineRule="auto"/>
        <w:jc w:val="both"/>
        <w:rPr>
          <w:rFonts w:ascii="Arial" w:hAnsi="Arial" w:cs="Arial"/>
          <w:color w:val="000000"/>
          <w:sz w:val="20"/>
          <w:szCs w:val="20"/>
          <w:u w:val="single"/>
          <w:shd w:val="clear" w:color="auto" w:fill="FFFFFF"/>
        </w:rPr>
      </w:pPr>
      <w:r w:rsidRPr="007F3D2B">
        <w:rPr>
          <w:rFonts w:ascii="Arial" w:hAnsi="Arial" w:cs="Arial"/>
          <w:color w:val="000000"/>
          <w:sz w:val="20"/>
          <w:szCs w:val="20"/>
          <w:u w:val="single"/>
          <w:shd w:val="clear" w:color="auto" w:fill="FFFFFF"/>
        </w:rPr>
        <w:t>MMR navrhuje ponechání mo</w:t>
      </w:r>
      <w:r w:rsidR="00B60174">
        <w:rPr>
          <w:rFonts w:ascii="Arial" w:hAnsi="Arial" w:cs="Arial"/>
          <w:color w:val="000000"/>
          <w:sz w:val="20"/>
          <w:szCs w:val="20"/>
          <w:u w:val="single"/>
          <w:shd w:val="clear" w:color="auto" w:fill="FFFFFF"/>
        </w:rPr>
        <w:t>žnosti individuálního posouzení.</w:t>
      </w:r>
    </w:p>
    <w:p w:rsidR="00965843" w:rsidRPr="007F3D2B" w:rsidRDefault="00965843" w:rsidP="007F3D2B">
      <w:pPr>
        <w:spacing w:before="120" w:line="276" w:lineRule="auto"/>
        <w:jc w:val="both"/>
        <w:rPr>
          <w:rFonts w:ascii="Arial" w:hAnsi="Arial" w:cs="Arial"/>
          <w:color w:val="000000"/>
          <w:sz w:val="20"/>
          <w:szCs w:val="20"/>
          <w:shd w:val="clear" w:color="auto" w:fill="FFFFFF"/>
        </w:rPr>
      </w:pPr>
    </w:p>
    <w:p w:rsidR="00965843" w:rsidRPr="007F3D2B" w:rsidRDefault="00965843" w:rsidP="007F3D2B">
      <w:pPr>
        <w:numPr>
          <w:ilvl w:val="0"/>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Dodatečné stavební práce, služby a dodávky</w:t>
      </w:r>
    </w:p>
    <w:p w:rsidR="00965843" w:rsidRPr="007F3D2B" w:rsidRDefault="00965843" w:rsidP="007F3D2B">
      <w:p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Nová směrnice rozvolňuje režim pro možnost změny smlouvy v případě dodatečných dodávek, služeb či stavebních prací. ZVZ dovoluje zadat veřejnou zakázku na dodatečné stavební práce nebo dodatečné služby v případě, že jejich potřeba vznikla v důsledku objektivně nepředvídatelných okolnost</w:t>
      </w:r>
      <w:r w:rsidR="00366EE1" w:rsidRPr="007F3D2B">
        <w:rPr>
          <w:rFonts w:ascii="Arial" w:hAnsi="Arial" w:cs="Arial"/>
          <w:color w:val="000000"/>
          <w:sz w:val="20"/>
          <w:szCs w:val="20"/>
          <w:shd w:val="clear" w:color="auto" w:fill="FFFFFF"/>
        </w:rPr>
        <w:t>í</w:t>
      </w:r>
      <w:r w:rsidRPr="007F3D2B">
        <w:rPr>
          <w:rFonts w:ascii="Arial" w:hAnsi="Arial" w:cs="Arial"/>
          <w:color w:val="000000"/>
          <w:sz w:val="20"/>
          <w:szCs w:val="20"/>
          <w:shd w:val="clear" w:color="auto" w:fill="FFFFFF"/>
        </w:rPr>
        <w:t xml:space="preserve"> a jsou nezbytné pro provedení původních stavebních prací nebo poskytnutí služeb a dodatečné stavební zakázky a služby jsou neoddělitelné od těch původních. Rozsah dodatečných stavebních prací či služeb nesmí překročit 20</w:t>
      </w:r>
      <w:r w:rsidR="00366EE1" w:rsidRPr="007F3D2B">
        <w:rPr>
          <w:rFonts w:ascii="Arial" w:hAnsi="Arial" w:cs="Arial"/>
          <w:color w:val="000000"/>
          <w:sz w:val="20"/>
          <w:szCs w:val="20"/>
          <w:shd w:val="clear" w:color="auto" w:fill="FFFFFF"/>
        </w:rPr>
        <w:t xml:space="preserve"> </w:t>
      </w:r>
      <w:r w:rsidRPr="007F3D2B">
        <w:rPr>
          <w:rFonts w:ascii="Arial" w:hAnsi="Arial" w:cs="Arial"/>
          <w:color w:val="000000"/>
          <w:sz w:val="20"/>
          <w:szCs w:val="20"/>
          <w:shd w:val="clear" w:color="auto" w:fill="FFFFFF"/>
        </w:rPr>
        <w:t>% ceny původní veřejné zakázky, přičemž současná směrnice stanoví limit 50</w:t>
      </w:r>
      <w:r w:rsidR="00366EE1" w:rsidRPr="007F3D2B">
        <w:rPr>
          <w:rFonts w:ascii="Arial" w:hAnsi="Arial" w:cs="Arial"/>
          <w:color w:val="000000"/>
          <w:sz w:val="20"/>
          <w:szCs w:val="20"/>
          <w:shd w:val="clear" w:color="auto" w:fill="FFFFFF"/>
        </w:rPr>
        <w:t xml:space="preserve"> </w:t>
      </w:r>
      <w:r w:rsidRPr="007F3D2B">
        <w:rPr>
          <w:rFonts w:ascii="Arial" w:hAnsi="Arial" w:cs="Arial"/>
          <w:color w:val="000000"/>
          <w:sz w:val="20"/>
          <w:szCs w:val="20"/>
          <w:shd w:val="clear" w:color="auto" w:fill="FFFFFF"/>
        </w:rPr>
        <w:t>%.</w:t>
      </w:r>
    </w:p>
    <w:p w:rsidR="00965843" w:rsidRPr="007F3D2B" w:rsidRDefault="00965843" w:rsidP="007F3D2B">
      <w:p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Nově umožňuje směrnice provedení změny smlouvy, bez nutnosti zahájení zadávacího řízení, až do výše 10</w:t>
      </w:r>
      <w:r w:rsidR="00366EE1" w:rsidRPr="007F3D2B">
        <w:rPr>
          <w:rFonts w:ascii="Arial" w:hAnsi="Arial" w:cs="Arial"/>
          <w:color w:val="000000"/>
          <w:sz w:val="20"/>
          <w:szCs w:val="20"/>
          <w:shd w:val="clear" w:color="auto" w:fill="FFFFFF"/>
        </w:rPr>
        <w:t xml:space="preserve"> </w:t>
      </w:r>
      <w:r w:rsidRPr="007F3D2B">
        <w:rPr>
          <w:rFonts w:ascii="Arial" w:hAnsi="Arial" w:cs="Arial"/>
          <w:color w:val="000000"/>
          <w:sz w:val="20"/>
          <w:szCs w:val="20"/>
          <w:shd w:val="clear" w:color="auto" w:fill="FFFFFF"/>
        </w:rPr>
        <w:t>% ceny veřejné zakázky v případě služeb a dodávek a 15</w:t>
      </w:r>
      <w:r w:rsidR="00366EE1" w:rsidRPr="007F3D2B">
        <w:rPr>
          <w:rFonts w:ascii="Arial" w:hAnsi="Arial" w:cs="Arial"/>
          <w:color w:val="000000"/>
          <w:sz w:val="20"/>
          <w:szCs w:val="20"/>
          <w:shd w:val="clear" w:color="auto" w:fill="FFFFFF"/>
        </w:rPr>
        <w:t xml:space="preserve"> </w:t>
      </w:r>
      <w:r w:rsidRPr="007F3D2B">
        <w:rPr>
          <w:rFonts w:ascii="Arial" w:hAnsi="Arial" w:cs="Arial"/>
          <w:color w:val="000000"/>
          <w:sz w:val="20"/>
          <w:szCs w:val="20"/>
          <w:shd w:val="clear" w:color="auto" w:fill="FFFFFF"/>
        </w:rPr>
        <w:t>% ceny původní veřejné zakázky v případě stavebních prací. Důvody změny se nezkoumají, nesmí však dojít ke změně povahy veřejné zakázky. Pokud je provedeno více změn, jejich hodnoty se sčítají.</w:t>
      </w:r>
    </w:p>
    <w:p w:rsidR="00965843" w:rsidRPr="007F3D2B" w:rsidRDefault="00965843" w:rsidP="007F3D2B">
      <w:p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Nadále směrnice umožňují zadání dodatečných stavebních prací, dodávek a služeb v jednacím řízení bez uveřejnění v případě, že jsou neoddělitelné od původní veřejné zakázky a jsou nepředvídatelné, avšak zde dochází ke zmírnění, neboť není nezbytné, aby tato nepředvídatelnost byla objektivní, ale postačí, pokud potřeba dodatečných prací služeb či dodávek nemohla být předvídána s náležitou péčí. Limit 50</w:t>
      </w:r>
      <w:r w:rsidR="00366EE1" w:rsidRPr="007F3D2B">
        <w:rPr>
          <w:rFonts w:ascii="Arial" w:hAnsi="Arial" w:cs="Arial"/>
          <w:color w:val="000000"/>
          <w:sz w:val="20"/>
          <w:szCs w:val="20"/>
          <w:shd w:val="clear" w:color="auto" w:fill="FFFFFF"/>
        </w:rPr>
        <w:t xml:space="preserve"> </w:t>
      </w:r>
      <w:r w:rsidRPr="007F3D2B">
        <w:rPr>
          <w:rFonts w:ascii="Arial" w:hAnsi="Arial" w:cs="Arial"/>
          <w:color w:val="000000"/>
          <w:sz w:val="20"/>
          <w:szCs w:val="20"/>
          <w:shd w:val="clear" w:color="auto" w:fill="FFFFFF"/>
        </w:rPr>
        <w:t xml:space="preserve">% ceny původní zakázky zůstal zachován, je však umožněno měnit rozsah zakázky opakovaně s tím, že hodnota jednotlivých změn se nesčítá. </w:t>
      </w:r>
    </w:p>
    <w:p w:rsidR="00965843" w:rsidRPr="007F3D2B" w:rsidRDefault="00965843" w:rsidP="007F3D2B">
      <w:p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Pro změnu smlouvy u dodatečných stavebních prací a služeb lze tedy zpracovat následující varianty</w:t>
      </w:r>
      <w:r w:rsidR="00366EE1" w:rsidRPr="007F3D2B">
        <w:rPr>
          <w:rFonts w:ascii="Arial" w:hAnsi="Arial" w:cs="Arial"/>
          <w:color w:val="000000"/>
          <w:sz w:val="20"/>
          <w:szCs w:val="20"/>
          <w:shd w:val="clear" w:color="auto" w:fill="FFFFFF"/>
        </w:rPr>
        <w:t>:</w:t>
      </w:r>
    </w:p>
    <w:p w:rsidR="00965843" w:rsidRPr="007F3D2B" w:rsidRDefault="00965843" w:rsidP="007F3D2B">
      <w:pPr>
        <w:numPr>
          <w:ilvl w:val="1"/>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limit 50</w:t>
      </w:r>
      <w:r w:rsidR="00366EE1" w:rsidRPr="007F3D2B">
        <w:rPr>
          <w:rFonts w:ascii="Arial" w:hAnsi="Arial" w:cs="Arial"/>
          <w:color w:val="000000"/>
          <w:sz w:val="20"/>
          <w:szCs w:val="20"/>
          <w:shd w:val="clear" w:color="auto" w:fill="FFFFFF"/>
        </w:rPr>
        <w:t xml:space="preserve"> </w:t>
      </w:r>
      <w:r w:rsidRPr="007F3D2B">
        <w:rPr>
          <w:rFonts w:ascii="Arial" w:hAnsi="Arial" w:cs="Arial"/>
          <w:color w:val="000000"/>
          <w:sz w:val="20"/>
          <w:szCs w:val="20"/>
          <w:shd w:val="clear" w:color="auto" w:fill="FFFFFF"/>
        </w:rPr>
        <w:t>% bez možnosti opakování</w:t>
      </w:r>
    </w:p>
    <w:p w:rsidR="00965843" w:rsidRPr="007F3D2B" w:rsidRDefault="00965843" w:rsidP="007F3D2B">
      <w:pPr>
        <w:numPr>
          <w:ilvl w:val="1"/>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limit 50</w:t>
      </w:r>
      <w:r w:rsidR="00366EE1" w:rsidRPr="007F3D2B">
        <w:rPr>
          <w:rFonts w:ascii="Arial" w:hAnsi="Arial" w:cs="Arial"/>
          <w:color w:val="000000"/>
          <w:sz w:val="20"/>
          <w:szCs w:val="20"/>
          <w:shd w:val="clear" w:color="auto" w:fill="FFFFFF"/>
        </w:rPr>
        <w:t xml:space="preserve"> </w:t>
      </w:r>
      <w:r w:rsidRPr="007F3D2B">
        <w:rPr>
          <w:rFonts w:ascii="Arial" w:hAnsi="Arial" w:cs="Arial"/>
          <w:color w:val="000000"/>
          <w:sz w:val="20"/>
          <w:szCs w:val="20"/>
          <w:shd w:val="clear" w:color="auto" w:fill="FFFFFF"/>
        </w:rPr>
        <w:t>% s možnosti opakování</w:t>
      </w:r>
    </w:p>
    <w:p w:rsidR="00965843" w:rsidRPr="007F3D2B" w:rsidRDefault="00965843" w:rsidP="007F3D2B">
      <w:pPr>
        <w:numPr>
          <w:ilvl w:val="1"/>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zachování limitu 20</w:t>
      </w:r>
      <w:r w:rsidR="00366EE1" w:rsidRPr="007F3D2B">
        <w:rPr>
          <w:rFonts w:ascii="Arial" w:hAnsi="Arial" w:cs="Arial"/>
          <w:color w:val="000000"/>
          <w:sz w:val="20"/>
          <w:szCs w:val="20"/>
          <w:shd w:val="clear" w:color="auto" w:fill="FFFFFF"/>
        </w:rPr>
        <w:t xml:space="preserve"> </w:t>
      </w:r>
      <w:r w:rsidRPr="007F3D2B">
        <w:rPr>
          <w:rFonts w:ascii="Arial" w:hAnsi="Arial" w:cs="Arial"/>
          <w:color w:val="000000"/>
          <w:sz w:val="20"/>
          <w:szCs w:val="20"/>
          <w:shd w:val="clear" w:color="auto" w:fill="FFFFFF"/>
        </w:rPr>
        <w:t>%</w:t>
      </w:r>
    </w:p>
    <w:p w:rsidR="008D64A9" w:rsidRPr="007F3D2B" w:rsidRDefault="008D64A9" w:rsidP="007F3D2B">
      <w:pPr>
        <w:spacing w:before="120" w:line="276" w:lineRule="auto"/>
        <w:ind w:left="1440"/>
        <w:jc w:val="both"/>
        <w:rPr>
          <w:rFonts w:ascii="Arial" w:hAnsi="Arial" w:cs="Arial"/>
          <w:color w:val="000000"/>
          <w:sz w:val="20"/>
          <w:szCs w:val="20"/>
          <w:shd w:val="clear" w:color="auto" w:fill="FFFFFF"/>
        </w:rPr>
      </w:pPr>
    </w:p>
    <w:p w:rsidR="00965843" w:rsidRPr="007F3D2B" w:rsidRDefault="00965843" w:rsidP="007F3D2B">
      <w:p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lastRenderedPageBreak/>
        <w:t>Pro změnu smlouvy, kterou lze provést bez zkoumání důvodů</w:t>
      </w:r>
      <w:r w:rsidR="00366EE1" w:rsidRPr="007F3D2B">
        <w:rPr>
          <w:rFonts w:ascii="Arial" w:hAnsi="Arial" w:cs="Arial"/>
          <w:color w:val="000000"/>
          <w:sz w:val="20"/>
          <w:szCs w:val="20"/>
          <w:shd w:val="clear" w:color="auto" w:fill="FFFFFF"/>
        </w:rPr>
        <w:t>.</w:t>
      </w:r>
      <w:r w:rsidRPr="007F3D2B">
        <w:rPr>
          <w:rFonts w:ascii="Arial" w:hAnsi="Arial" w:cs="Arial"/>
          <w:color w:val="000000"/>
          <w:sz w:val="20"/>
          <w:szCs w:val="20"/>
          <w:shd w:val="clear" w:color="auto" w:fill="FFFFFF"/>
        </w:rPr>
        <w:t xml:space="preserve"> jsou tyto varianty</w:t>
      </w:r>
      <w:r w:rsidR="00366EE1" w:rsidRPr="007F3D2B">
        <w:rPr>
          <w:rFonts w:ascii="Arial" w:hAnsi="Arial" w:cs="Arial"/>
          <w:color w:val="000000"/>
          <w:sz w:val="20"/>
          <w:szCs w:val="20"/>
          <w:shd w:val="clear" w:color="auto" w:fill="FFFFFF"/>
        </w:rPr>
        <w:t>:</w:t>
      </w:r>
    </w:p>
    <w:p w:rsidR="00965843" w:rsidRPr="007F3D2B" w:rsidRDefault="00965843" w:rsidP="007F3D2B">
      <w:pPr>
        <w:numPr>
          <w:ilvl w:val="0"/>
          <w:numId w:val="16"/>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 xml:space="preserve">limit 10 % a 15 % podle směrnice </w:t>
      </w:r>
    </w:p>
    <w:p w:rsidR="00965843" w:rsidRPr="007F3D2B" w:rsidRDefault="00965843" w:rsidP="007F3D2B">
      <w:pPr>
        <w:numPr>
          <w:ilvl w:val="0"/>
          <w:numId w:val="16"/>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snížení limitu</w:t>
      </w:r>
    </w:p>
    <w:p w:rsidR="00965843" w:rsidRPr="007F3D2B" w:rsidRDefault="00965843" w:rsidP="007F3D2B">
      <w:pPr>
        <w:numPr>
          <w:ilvl w:val="0"/>
          <w:numId w:val="16"/>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umožnit změnu bez zkoumání důvodů</w:t>
      </w:r>
    </w:p>
    <w:p w:rsidR="00965843" w:rsidRPr="007F3D2B" w:rsidRDefault="00965843" w:rsidP="007F3D2B">
      <w:pPr>
        <w:numPr>
          <w:ilvl w:val="0"/>
          <w:numId w:val="16"/>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umožnit změnu za konkrétních podmínek</w:t>
      </w:r>
    </w:p>
    <w:p w:rsidR="00965843" w:rsidRPr="007F3D2B" w:rsidRDefault="00965843" w:rsidP="007F3D2B">
      <w:pPr>
        <w:numPr>
          <w:ilvl w:val="0"/>
          <w:numId w:val="16"/>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nepřipustit tuto změnu smlouvy</w:t>
      </w:r>
    </w:p>
    <w:p w:rsidR="00965843" w:rsidRPr="007F3D2B" w:rsidRDefault="00965843" w:rsidP="007F3D2B">
      <w:pPr>
        <w:spacing w:before="120" w:line="276" w:lineRule="auto"/>
        <w:jc w:val="both"/>
        <w:rPr>
          <w:rFonts w:ascii="Arial" w:hAnsi="Arial" w:cs="Arial"/>
          <w:color w:val="000000"/>
          <w:sz w:val="20"/>
          <w:szCs w:val="20"/>
          <w:u w:val="single"/>
          <w:shd w:val="clear" w:color="auto" w:fill="FFFFFF"/>
        </w:rPr>
      </w:pPr>
      <w:r w:rsidRPr="007F3D2B">
        <w:rPr>
          <w:rFonts w:ascii="Arial" w:hAnsi="Arial" w:cs="Arial"/>
          <w:color w:val="000000"/>
          <w:sz w:val="20"/>
          <w:szCs w:val="20"/>
          <w:u w:val="single"/>
          <w:shd w:val="clear" w:color="auto" w:fill="FFFFFF"/>
        </w:rPr>
        <w:t>MMR navrhuje u dodatečných stavebních prací a služeb zavést limit 50 % bez možnosti opakování se zachováním důvodů pouze ze směrnice. U změn smluv, kdy se nezkoumá důvod pro změnu, připustit limit ze směrnice (10 a 15 %)</w:t>
      </w:r>
      <w:r w:rsidR="00366EE1" w:rsidRPr="007F3D2B">
        <w:rPr>
          <w:rFonts w:ascii="Arial" w:hAnsi="Arial" w:cs="Arial"/>
          <w:color w:val="000000"/>
          <w:sz w:val="20"/>
          <w:szCs w:val="20"/>
          <w:u w:val="single"/>
          <w:shd w:val="clear" w:color="auto" w:fill="FFFFFF"/>
        </w:rPr>
        <w:t>,</w:t>
      </w:r>
      <w:r w:rsidRPr="007F3D2B">
        <w:rPr>
          <w:rFonts w:ascii="Arial" w:hAnsi="Arial" w:cs="Arial"/>
          <w:color w:val="000000"/>
          <w:sz w:val="20"/>
          <w:szCs w:val="20"/>
          <w:u w:val="single"/>
          <w:shd w:val="clear" w:color="auto" w:fill="FFFFFF"/>
        </w:rPr>
        <w:t xml:space="preserve"> popř</w:t>
      </w:r>
      <w:r w:rsidR="00366EE1" w:rsidRPr="007F3D2B">
        <w:rPr>
          <w:rFonts w:ascii="Arial" w:hAnsi="Arial" w:cs="Arial"/>
          <w:color w:val="000000"/>
          <w:sz w:val="20"/>
          <w:szCs w:val="20"/>
          <w:u w:val="single"/>
          <w:shd w:val="clear" w:color="auto" w:fill="FFFFFF"/>
        </w:rPr>
        <w:t>.</w:t>
      </w:r>
      <w:r w:rsidRPr="007F3D2B">
        <w:rPr>
          <w:rFonts w:ascii="Arial" w:hAnsi="Arial" w:cs="Arial"/>
          <w:color w:val="000000"/>
          <w:sz w:val="20"/>
          <w:szCs w:val="20"/>
          <w:u w:val="single"/>
          <w:shd w:val="clear" w:color="auto" w:fill="FFFFFF"/>
        </w:rPr>
        <w:t xml:space="preserve"> stanovit katalog změn přípustných u stavebních prací, který by odpovídal přípustným změnám podle konkrétních standardů (např. FIDIC).</w:t>
      </w:r>
    </w:p>
    <w:p w:rsidR="00965843" w:rsidRPr="007F3D2B" w:rsidRDefault="00965843" w:rsidP="007F3D2B">
      <w:pPr>
        <w:numPr>
          <w:ilvl w:val="0"/>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Rušení při jedné nabídce</w:t>
      </w:r>
    </w:p>
    <w:p w:rsidR="00965843" w:rsidRPr="007F3D2B" w:rsidRDefault="00965843" w:rsidP="007F3D2B">
      <w:p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 xml:space="preserve">Novelizace č. 55/2012 Sb. uložila zadavatelům povinnost rušit zadávací řízení v případě, že zadavatel obdržel jednu nabídku či jedna nabídka zbyla k hodnocení. Tato povinnost byla posléze modifikována </w:t>
      </w:r>
      <w:r w:rsidR="004D7FD4" w:rsidRPr="007F3D2B">
        <w:rPr>
          <w:rFonts w:ascii="Arial" w:hAnsi="Arial" w:cs="Arial"/>
          <w:color w:val="000000"/>
          <w:sz w:val="20"/>
          <w:szCs w:val="20"/>
          <w:shd w:val="clear" w:color="auto" w:fill="FFFFFF"/>
        </w:rPr>
        <w:t xml:space="preserve">zákonným </w:t>
      </w:r>
      <w:r w:rsidRPr="007F3D2B">
        <w:rPr>
          <w:rFonts w:ascii="Arial" w:hAnsi="Arial" w:cs="Arial"/>
          <w:color w:val="000000"/>
          <w:sz w:val="20"/>
          <w:szCs w:val="20"/>
          <w:shd w:val="clear" w:color="auto" w:fill="FFFFFF"/>
        </w:rPr>
        <w:t>opatřením</w:t>
      </w:r>
      <w:r w:rsidR="004D7FD4" w:rsidRPr="007F3D2B">
        <w:rPr>
          <w:rFonts w:ascii="Arial" w:hAnsi="Arial" w:cs="Arial"/>
          <w:color w:val="000000"/>
          <w:sz w:val="20"/>
          <w:szCs w:val="20"/>
          <w:shd w:val="clear" w:color="auto" w:fill="FFFFFF"/>
        </w:rPr>
        <w:t xml:space="preserve"> Senátu</w:t>
      </w:r>
      <w:r w:rsidRPr="007F3D2B">
        <w:rPr>
          <w:rFonts w:ascii="Arial" w:hAnsi="Arial" w:cs="Arial"/>
          <w:color w:val="000000"/>
          <w:sz w:val="20"/>
          <w:szCs w:val="20"/>
          <w:shd w:val="clear" w:color="auto" w:fill="FFFFFF"/>
        </w:rPr>
        <w:t xml:space="preserve"> č. 341/2013 Sb.</w:t>
      </w:r>
      <w:r w:rsidR="004D7FD4" w:rsidRPr="007F3D2B">
        <w:rPr>
          <w:rFonts w:ascii="Arial" w:hAnsi="Arial" w:cs="Arial"/>
          <w:color w:val="000000"/>
          <w:sz w:val="20"/>
          <w:szCs w:val="20"/>
          <w:shd w:val="clear" w:color="auto" w:fill="FFFFFF"/>
        </w:rPr>
        <w:t xml:space="preserve"> Možnostmi jsou:</w:t>
      </w:r>
    </w:p>
    <w:p w:rsidR="00965843" w:rsidRPr="007F3D2B" w:rsidRDefault="00965843" w:rsidP="007F3D2B">
      <w:pPr>
        <w:numPr>
          <w:ilvl w:val="0"/>
          <w:numId w:val="17"/>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 xml:space="preserve">zachování současného stavu </w:t>
      </w:r>
    </w:p>
    <w:p w:rsidR="00965843" w:rsidRPr="007F3D2B" w:rsidRDefault="00965843" w:rsidP="007F3D2B">
      <w:pPr>
        <w:numPr>
          <w:ilvl w:val="0"/>
          <w:numId w:val="17"/>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 xml:space="preserve">vypuštění povinnosti rušit </w:t>
      </w:r>
      <w:r w:rsidR="004D7FD4" w:rsidRPr="007F3D2B">
        <w:rPr>
          <w:rFonts w:ascii="Arial" w:hAnsi="Arial" w:cs="Arial"/>
          <w:color w:val="000000"/>
          <w:sz w:val="20"/>
          <w:szCs w:val="20"/>
          <w:shd w:val="clear" w:color="auto" w:fill="FFFFFF"/>
        </w:rPr>
        <w:t xml:space="preserve">zadávací řízení </w:t>
      </w:r>
      <w:r w:rsidRPr="007F3D2B">
        <w:rPr>
          <w:rFonts w:ascii="Arial" w:hAnsi="Arial" w:cs="Arial"/>
          <w:color w:val="000000"/>
          <w:sz w:val="20"/>
          <w:szCs w:val="20"/>
          <w:shd w:val="clear" w:color="auto" w:fill="FFFFFF"/>
        </w:rPr>
        <w:t>při jedné nabídce</w:t>
      </w:r>
    </w:p>
    <w:p w:rsidR="00965843" w:rsidRPr="007F3D2B" w:rsidRDefault="00965843" w:rsidP="007F3D2B">
      <w:pPr>
        <w:spacing w:before="120" w:line="276" w:lineRule="auto"/>
        <w:jc w:val="both"/>
        <w:rPr>
          <w:rFonts w:ascii="Arial" w:hAnsi="Arial" w:cs="Arial"/>
          <w:color w:val="000000"/>
          <w:sz w:val="20"/>
          <w:szCs w:val="20"/>
          <w:u w:val="single"/>
          <w:shd w:val="clear" w:color="auto" w:fill="FFFFFF"/>
        </w:rPr>
      </w:pPr>
      <w:r w:rsidRPr="007F3D2B">
        <w:rPr>
          <w:rFonts w:ascii="Arial" w:hAnsi="Arial" w:cs="Arial"/>
          <w:color w:val="000000"/>
          <w:sz w:val="20"/>
          <w:szCs w:val="20"/>
          <w:u w:val="single"/>
          <w:shd w:val="clear" w:color="auto" w:fill="FFFFFF"/>
        </w:rPr>
        <w:t xml:space="preserve">MMR navrhuje vypuštění povinnosti rušit </w:t>
      </w:r>
      <w:r w:rsidR="004D7FD4" w:rsidRPr="007F3D2B">
        <w:rPr>
          <w:rFonts w:ascii="Arial" w:hAnsi="Arial" w:cs="Arial"/>
          <w:color w:val="000000"/>
          <w:sz w:val="20"/>
          <w:szCs w:val="20"/>
          <w:u w:val="single"/>
          <w:shd w:val="clear" w:color="auto" w:fill="FFFFFF"/>
        </w:rPr>
        <w:t xml:space="preserve">zadávací řízení </w:t>
      </w:r>
      <w:r w:rsidRPr="007F3D2B">
        <w:rPr>
          <w:rFonts w:ascii="Arial" w:hAnsi="Arial" w:cs="Arial"/>
          <w:color w:val="000000"/>
          <w:sz w:val="20"/>
          <w:szCs w:val="20"/>
          <w:u w:val="single"/>
          <w:shd w:val="clear" w:color="auto" w:fill="FFFFFF"/>
        </w:rPr>
        <w:t>při jedné nabídce.</w:t>
      </w:r>
    </w:p>
    <w:p w:rsidR="00965843" w:rsidRPr="007F3D2B" w:rsidRDefault="00965843" w:rsidP="007F3D2B">
      <w:pPr>
        <w:spacing w:before="120" w:line="276" w:lineRule="auto"/>
        <w:jc w:val="both"/>
        <w:rPr>
          <w:rFonts w:ascii="Arial" w:hAnsi="Arial" w:cs="Arial"/>
          <w:color w:val="000000"/>
          <w:sz w:val="20"/>
          <w:szCs w:val="20"/>
          <w:shd w:val="clear" w:color="auto" w:fill="FFFFFF"/>
        </w:rPr>
      </w:pPr>
    </w:p>
    <w:p w:rsidR="00965843" w:rsidRPr="007F3D2B" w:rsidRDefault="00965843" w:rsidP="007F3D2B">
      <w:pPr>
        <w:numPr>
          <w:ilvl w:val="0"/>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Dohled nad dodržováním zákona</w:t>
      </w:r>
    </w:p>
    <w:p w:rsidR="00965843" w:rsidRPr="007F3D2B" w:rsidRDefault="00965843" w:rsidP="007F3D2B">
      <w:p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 xml:space="preserve">Dohled vykonává Úřad pro ochranu hospodářské soutěže. Ve věci změny </w:t>
      </w:r>
      <w:r w:rsidR="004D7FD4" w:rsidRPr="007F3D2B">
        <w:rPr>
          <w:rFonts w:ascii="Arial" w:hAnsi="Arial" w:cs="Arial"/>
          <w:color w:val="000000"/>
          <w:sz w:val="20"/>
          <w:szCs w:val="20"/>
          <w:shd w:val="clear" w:color="auto" w:fill="FFFFFF"/>
        </w:rPr>
        <w:t xml:space="preserve">jsou možnosti </w:t>
      </w:r>
      <w:r w:rsidRPr="007F3D2B">
        <w:rPr>
          <w:rFonts w:ascii="Arial" w:hAnsi="Arial" w:cs="Arial"/>
          <w:color w:val="000000"/>
          <w:sz w:val="20"/>
          <w:szCs w:val="20"/>
          <w:shd w:val="clear" w:color="auto" w:fill="FFFFFF"/>
        </w:rPr>
        <w:t>následující</w:t>
      </w:r>
      <w:r w:rsidR="004D7FD4" w:rsidRPr="007F3D2B">
        <w:rPr>
          <w:rFonts w:ascii="Arial" w:hAnsi="Arial" w:cs="Arial"/>
          <w:color w:val="000000"/>
          <w:sz w:val="20"/>
          <w:szCs w:val="20"/>
          <w:shd w:val="clear" w:color="auto" w:fill="FFFFFF"/>
        </w:rPr>
        <w:t>:</w:t>
      </w:r>
    </w:p>
    <w:p w:rsidR="00965843" w:rsidRPr="007F3D2B" w:rsidRDefault="00965843" w:rsidP="007F3D2B">
      <w:pPr>
        <w:numPr>
          <w:ilvl w:val="0"/>
          <w:numId w:val="18"/>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jednostupňové řízení</w:t>
      </w:r>
    </w:p>
    <w:p w:rsidR="00965843" w:rsidRPr="007F3D2B" w:rsidRDefault="00965843" w:rsidP="007F3D2B">
      <w:pPr>
        <w:numPr>
          <w:ilvl w:val="2"/>
          <w:numId w:val="18"/>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u podlimitních veřejných zakázek</w:t>
      </w:r>
    </w:p>
    <w:p w:rsidR="00965843" w:rsidRPr="007F3D2B" w:rsidRDefault="00965843" w:rsidP="007F3D2B">
      <w:pPr>
        <w:numPr>
          <w:ilvl w:val="0"/>
          <w:numId w:val="18"/>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dílčí zjednodušení přezkumného procesu</w:t>
      </w:r>
    </w:p>
    <w:p w:rsidR="00965843" w:rsidRPr="007F3D2B" w:rsidRDefault="00965843" w:rsidP="007F3D2B">
      <w:pPr>
        <w:spacing w:before="120" w:line="276" w:lineRule="auto"/>
        <w:jc w:val="both"/>
        <w:rPr>
          <w:rFonts w:ascii="Arial" w:hAnsi="Arial" w:cs="Arial"/>
          <w:color w:val="000000"/>
          <w:sz w:val="20"/>
          <w:szCs w:val="20"/>
          <w:u w:val="single"/>
          <w:shd w:val="clear" w:color="auto" w:fill="FFFFFF"/>
        </w:rPr>
      </w:pPr>
      <w:r w:rsidRPr="007F3D2B">
        <w:rPr>
          <w:rFonts w:ascii="Arial" w:hAnsi="Arial" w:cs="Arial"/>
          <w:color w:val="000000"/>
          <w:sz w:val="20"/>
          <w:szCs w:val="20"/>
          <w:u w:val="single"/>
          <w:shd w:val="clear" w:color="auto" w:fill="FFFFFF"/>
        </w:rPr>
        <w:t>MMR navrhuje zavést jednostupňové přezkumné řízení v podlimitním režimu.</w:t>
      </w:r>
    </w:p>
    <w:p w:rsidR="00965843" w:rsidRPr="007F3D2B" w:rsidRDefault="00965843" w:rsidP="007F3D2B">
      <w:pPr>
        <w:numPr>
          <w:ilvl w:val="0"/>
          <w:numId w:val="15"/>
        </w:numPr>
        <w:spacing w:before="120" w:line="276" w:lineRule="auto"/>
        <w:jc w:val="both"/>
        <w:rPr>
          <w:rFonts w:ascii="Arial" w:hAnsi="Arial" w:cs="Arial"/>
          <w:color w:val="000000"/>
          <w:sz w:val="20"/>
          <w:szCs w:val="20"/>
          <w:shd w:val="clear" w:color="auto" w:fill="FFFFFF"/>
        </w:rPr>
      </w:pPr>
      <w:r w:rsidRPr="007F3D2B">
        <w:rPr>
          <w:rFonts w:ascii="Arial" w:hAnsi="Arial" w:cs="Arial"/>
          <w:color w:val="000000"/>
          <w:sz w:val="20"/>
          <w:szCs w:val="20"/>
          <w:shd w:val="clear" w:color="auto" w:fill="FFFFFF"/>
        </w:rPr>
        <w:t>Transparentní vlastnická struktura</w:t>
      </w:r>
    </w:p>
    <w:p w:rsidR="00965843" w:rsidRPr="007F3D2B" w:rsidRDefault="00B60174" w:rsidP="007F3D2B">
      <w:pPr>
        <w:spacing w:before="120" w:line="276" w:lineRule="auto"/>
        <w:jc w:val="both"/>
        <w:rPr>
          <w:rFonts w:ascii="Arial" w:hAnsi="Arial" w:cs="Arial"/>
          <w:color w:val="000000"/>
          <w:sz w:val="20"/>
          <w:szCs w:val="20"/>
          <w:shd w:val="clear" w:color="auto" w:fill="FFFFFF"/>
        </w:rPr>
      </w:pPr>
      <w:r>
        <w:rPr>
          <w:rFonts w:ascii="Arial" w:hAnsi="Arial" w:cs="Arial"/>
          <w:color w:val="000000"/>
          <w:sz w:val="20"/>
          <w:szCs w:val="20"/>
          <w:u w:val="single"/>
          <w:shd w:val="clear" w:color="auto" w:fill="FFFFFF"/>
        </w:rPr>
        <w:t>Navrhuje se</w:t>
      </w:r>
      <w:r w:rsidR="00834043" w:rsidRPr="007F3D2B">
        <w:rPr>
          <w:rFonts w:ascii="Arial" w:hAnsi="Arial" w:cs="Arial"/>
          <w:color w:val="000000"/>
          <w:sz w:val="20"/>
          <w:szCs w:val="20"/>
          <w:u w:val="single"/>
          <w:shd w:val="clear" w:color="auto" w:fill="FFFFFF"/>
        </w:rPr>
        <w:t xml:space="preserve"> přijetí samostatného zákona, který by řešil problematiku komplexně, případně</w:t>
      </w:r>
      <w:r w:rsidR="00965843" w:rsidRPr="007F3D2B">
        <w:rPr>
          <w:rFonts w:ascii="Arial" w:hAnsi="Arial" w:cs="Arial"/>
          <w:color w:val="000000"/>
          <w:sz w:val="20"/>
          <w:szCs w:val="20"/>
          <w:u w:val="single"/>
          <w:shd w:val="clear" w:color="auto" w:fill="FFFFFF"/>
        </w:rPr>
        <w:t xml:space="preserve"> u anonymních akciových společností, které sídlí v České republice, </w:t>
      </w:r>
      <w:r w:rsidR="00FF4172" w:rsidRPr="007F3D2B">
        <w:rPr>
          <w:rFonts w:ascii="Arial" w:hAnsi="Arial" w:cs="Arial"/>
          <w:color w:val="000000"/>
          <w:sz w:val="20"/>
          <w:szCs w:val="20"/>
          <w:u w:val="single"/>
          <w:shd w:val="clear" w:color="auto" w:fill="FFFFFF"/>
        </w:rPr>
        <w:t xml:space="preserve">stanovit </w:t>
      </w:r>
      <w:r w:rsidR="00965843" w:rsidRPr="007F3D2B">
        <w:rPr>
          <w:rFonts w:ascii="Arial" w:hAnsi="Arial" w:cs="Arial"/>
          <w:color w:val="000000"/>
          <w:sz w:val="20"/>
          <w:szCs w:val="20"/>
          <w:u w:val="single"/>
          <w:shd w:val="clear" w:color="auto" w:fill="FFFFFF"/>
        </w:rPr>
        <w:t>zákaz účasti v zadávacích řízeních, u zahraničních osob by se vlastníci prokazovali prostřednictvím četných prohlášení.</w:t>
      </w:r>
      <w:r w:rsidR="00965843" w:rsidRPr="007F3D2B">
        <w:rPr>
          <w:rFonts w:ascii="Arial" w:hAnsi="Arial" w:cs="Arial"/>
          <w:color w:val="000000"/>
          <w:sz w:val="20"/>
          <w:szCs w:val="20"/>
          <w:shd w:val="clear" w:color="auto" w:fill="FFFFFF"/>
        </w:rPr>
        <w:t xml:space="preserve"> </w:t>
      </w:r>
    </w:p>
    <w:p w:rsidR="00B807A5" w:rsidRPr="007F3D2B" w:rsidRDefault="00B807A5" w:rsidP="007F3D2B">
      <w:pPr>
        <w:spacing w:before="120" w:line="276" w:lineRule="auto"/>
        <w:rPr>
          <w:rFonts w:ascii="Arial" w:hAnsi="Arial" w:cs="Arial"/>
          <w:b/>
          <w:color w:val="000000"/>
          <w:sz w:val="20"/>
          <w:shd w:val="clear" w:color="auto" w:fill="FFFFFF"/>
        </w:rPr>
      </w:pPr>
    </w:p>
    <w:p w:rsidR="00B807A5" w:rsidRPr="007F3D2B" w:rsidRDefault="007C5728" w:rsidP="007F3D2B">
      <w:pPr>
        <w:pStyle w:val="Odstavecseseznamem"/>
        <w:numPr>
          <w:ilvl w:val="0"/>
          <w:numId w:val="11"/>
        </w:numPr>
        <w:spacing w:before="120" w:line="276" w:lineRule="auto"/>
        <w:rPr>
          <w:rFonts w:ascii="Arial" w:hAnsi="Arial" w:cs="Arial"/>
          <w:b/>
          <w:color w:val="000000"/>
          <w:sz w:val="20"/>
          <w:shd w:val="clear" w:color="auto" w:fill="FFFFFF"/>
        </w:rPr>
      </w:pPr>
      <w:r w:rsidRPr="007F3D2B">
        <w:rPr>
          <w:rFonts w:ascii="Arial" w:hAnsi="Arial" w:cs="Arial"/>
          <w:b/>
          <w:color w:val="000000"/>
          <w:sz w:val="20"/>
          <w:shd w:val="clear" w:color="auto" w:fill="FFFFFF"/>
        </w:rPr>
        <w:t>Implementace doporučené varianty a vynucování</w:t>
      </w:r>
    </w:p>
    <w:p w:rsidR="00D645BD" w:rsidRPr="007F3D2B" w:rsidRDefault="00D645BD" w:rsidP="007F3D2B">
      <w:pPr>
        <w:pStyle w:val="Odstavecseseznamem"/>
        <w:spacing w:before="120" w:line="276" w:lineRule="auto"/>
        <w:ind w:left="360"/>
        <w:rPr>
          <w:rFonts w:ascii="Arial" w:hAnsi="Arial" w:cs="Arial"/>
          <w:color w:val="000000"/>
          <w:sz w:val="20"/>
          <w:shd w:val="clear" w:color="auto" w:fill="FFFFFF"/>
        </w:rPr>
      </w:pPr>
      <w:r w:rsidRPr="007F3D2B">
        <w:rPr>
          <w:rFonts w:ascii="Arial" w:hAnsi="Arial" w:cs="Arial"/>
          <w:color w:val="000000"/>
          <w:sz w:val="20"/>
          <w:shd w:val="clear" w:color="auto" w:fill="FFFFFF"/>
        </w:rPr>
        <w:t>Za implementaci zákona je odpovědné Ministerstvo pro místní rozvoj.</w:t>
      </w:r>
    </w:p>
    <w:p w:rsidR="0054619D" w:rsidRPr="007F3D2B" w:rsidRDefault="0054619D" w:rsidP="007F3D2B">
      <w:pPr>
        <w:pStyle w:val="Odstavecseseznamem"/>
        <w:spacing w:before="120" w:line="276" w:lineRule="auto"/>
        <w:ind w:left="360"/>
        <w:rPr>
          <w:rFonts w:ascii="Arial" w:hAnsi="Arial" w:cs="Arial"/>
          <w:color w:val="000000"/>
          <w:sz w:val="20"/>
          <w:shd w:val="clear" w:color="auto" w:fill="FFFFFF"/>
        </w:rPr>
      </w:pPr>
      <w:r w:rsidRPr="007F3D2B">
        <w:rPr>
          <w:rFonts w:ascii="Arial" w:hAnsi="Arial" w:cs="Arial"/>
          <w:color w:val="000000"/>
          <w:sz w:val="20"/>
          <w:shd w:val="clear" w:color="auto" w:fill="FFFFFF"/>
        </w:rPr>
        <w:t>V souvislosti s navrhovanými variantami nebude nutné, aby byly dotčené subjekty nuceny provádět v důsledku implementace takové regulace, které nejsou dosud upraveny.</w:t>
      </w:r>
    </w:p>
    <w:p w:rsidR="0054619D" w:rsidRPr="007F3D2B" w:rsidRDefault="0054619D" w:rsidP="007F3D2B">
      <w:pPr>
        <w:pStyle w:val="Odstavecseseznamem"/>
        <w:spacing w:before="120" w:line="276" w:lineRule="auto"/>
        <w:ind w:left="360"/>
        <w:rPr>
          <w:rFonts w:ascii="Arial" w:hAnsi="Arial" w:cs="Arial"/>
          <w:color w:val="000000"/>
          <w:sz w:val="20"/>
          <w:shd w:val="clear" w:color="auto" w:fill="FFFFFF"/>
        </w:rPr>
      </w:pPr>
    </w:p>
    <w:p w:rsidR="0054619D" w:rsidRPr="007F3D2B" w:rsidRDefault="0054619D" w:rsidP="007F3D2B">
      <w:pPr>
        <w:pStyle w:val="Odstavecseseznamem"/>
        <w:spacing w:before="120" w:line="276" w:lineRule="auto"/>
        <w:ind w:left="360"/>
        <w:rPr>
          <w:rFonts w:ascii="Arial" w:hAnsi="Arial" w:cs="Arial"/>
          <w:color w:val="000000"/>
          <w:sz w:val="20"/>
          <w:shd w:val="clear" w:color="auto" w:fill="FFFFFF"/>
        </w:rPr>
      </w:pPr>
      <w:r w:rsidRPr="007F3D2B">
        <w:rPr>
          <w:rFonts w:ascii="Arial" w:hAnsi="Arial" w:cs="Arial"/>
          <w:color w:val="000000"/>
          <w:sz w:val="20"/>
          <w:shd w:val="clear" w:color="auto" w:fill="FFFFFF"/>
        </w:rPr>
        <w:t xml:space="preserve">Dále je třeba uvést, že za orgány veřejné správy hrající úlohu při implementaci lze považovat všechna připomínková místa uvedená v čl. 5 </w:t>
      </w:r>
      <w:r w:rsidR="00B60174">
        <w:rPr>
          <w:rFonts w:ascii="Arial" w:hAnsi="Arial" w:cs="Arial"/>
          <w:color w:val="000000"/>
          <w:sz w:val="20"/>
          <w:shd w:val="clear" w:color="auto" w:fill="FFFFFF"/>
        </w:rPr>
        <w:t>odst.</w:t>
      </w:r>
      <w:r w:rsidRPr="007F3D2B">
        <w:rPr>
          <w:rFonts w:ascii="Arial" w:hAnsi="Arial" w:cs="Arial"/>
          <w:color w:val="000000"/>
          <w:sz w:val="20"/>
          <w:shd w:val="clear" w:color="auto" w:fill="FFFFFF"/>
        </w:rPr>
        <w:t xml:space="preserve"> 1 Legislativních pravidel vlády. Vynucování regulace bude v působnosti Úřadu pro ochranu hospodářské soutěže.</w:t>
      </w:r>
    </w:p>
    <w:p w:rsidR="0054619D" w:rsidRPr="007F3D2B" w:rsidRDefault="0054619D" w:rsidP="007F3D2B">
      <w:pPr>
        <w:pStyle w:val="Odstavecseseznamem"/>
        <w:spacing w:before="120" w:line="276" w:lineRule="auto"/>
        <w:ind w:left="360"/>
        <w:rPr>
          <w:rFonts w:ascii="Arial" w:hAnsi="Arial" w:cs="Arial"/>
          <w:color w:val="000000"/>
          <w:sz w:val="20"/>
          <w:shd w:val="clear" w:color="auto" w:fill="FFFFFF"/>
        </w:rPr>
      </w:pPr>
      <w:r w:rsidRPr="007F3D2B">
        <w:rPr>
          <w:rFonts w:ascii="Arial" w:hAnsi="Arial" w:cs="Arial"/>
          <w:color w:val="000000"/>
          <w:sz w:val="20"/>
          <w:shd w:val="clear" w:color="auto" w:fill="FFFFFF"/>
        </w:rPr>
        <w:t>Připomínkovým místům budou všechny potřebné informace sděleny v průběhu standardního legislativního procesu.</w:t>
      </w:r>
    </w:p>
    <w:p w:rsidR="0054619D" w:rsidRPr="007F3D2B" w:rsidRDefault="0054619D" w:rsidP="007F3D2B">
      <w:pPr>
        <w:pStyle w:val="Odstavecseseznamem"/>
        <w:spacing w:before="120" w:line="276" w:lineRule="auto"/>
        <w:ind w:left="360"/>
        <w:rPr>
          <w:rFonts w:ascii="Arial" w:hAnsi="Arial" w:cs="Arial"/>
          <w:color w:val="000000"/>
          <w:sz w:val="20"/>
          <w:shd w:val="clear" w:color="auto" w:fill="FFFFFF"/>
        </w:rPr>
      </w:pPr>
    </w:p>
    <w:p w:rsidR="0054619D" w:rsidRPr="007F3D2B" w:rsidRDefault="0054619D" w:rsidP="007F3D2B">
      <w:pPr>
        <w:pStyle w:val="Odstavecseseznamem"/>
        <w:spacing w:before="120" w:line="276" w:lineRule="auto"/>
        <w:ind w:left="360"/>
        <w:rPr>
          <w:rFonts w:ascii="Arial" w:hAnsi="Arial" w:cs="Arial"/>
          <w:color w:val="000000"/>
          <w:sz w:val="20"/>
          <w:shd w:val="clear" w:color="auto" w:fill="FFFFFF"/>
        </w:rPr>
      </w:pPr>
      <w:r w:rsidRPr="007F3D2B">
        <w:rPr>
          <w:rFonts w:ascii="Arial" w:hAnsi="Arial" w:cs="Arial"/>
          <w:color w:val="000000"/>
          <w:sz w:val="20"/>
          <w:shd w:val="clear" w:color="auto" w:fill="FFFFFF"/>
        </w:rPr>
        <w:t>Gestor zákona, tedy Ministerstvo pro místní rozvoj</w:t>
      </w:r>
      <w:r w:rsidR="00B60174">
        <w:rPr>
          <w:rFonts w:ascii="Arial" w:hAnsi="Arial" w:cs="Arial"/>
          <w:color w:val="000000"/>
          <w:sz w:val="20"/>
          <w:shd w:val="clear" w:color="auto" w:fill="FFFFFF"/>
        </w:rPr>
        <w:t>,</w:t>
      </w:r>
      <w:r w:rsidRPr="007F3D2B">
        <w:rPr>
          <w:rFonts w:ascii="Arial" w:hAnsi="Arial" w:cs="Arial"/>
          <w:color w:val="000000"/>
          <w:sz w:val="20"/>
          <w:shd w:val="clear" w:color="auto" w:fill="FFFFFF"/>
        </w:rPr>
        <w:t xml:space="preserve"> se již v současné době zabývá metodickou činností, dále realizuje odborné semináře, které se zaměřují na oblast veřejných zakázek. V této činnosti hodlá pokračovat i po účinnosti nového zákona. Současně je jak dotčeným subjektům, tak </w:t>
      </w:r>
      <w:r w:rsidRPr="007F3D2B">
        <w:rPr>
          <w:rFonts w:ascii="Arial" w:hAnsi="Arial" w:cs="Arial"/>
          <w:color w:val="000000"/>
          <w:sz w:val="20"/>
          <w:shd w:val="clear" w:color="auto" w:fill="FFFFFF"/>
        </w:rPr>
        <w:lastRenderedPageBreak/>
        <w:t>i veřejnosti</w:t>
      </w:r>
      <w:r w:rsidR="005C1766">
        <w:rPr>
          <w:rFonts w:ascii="Arial" w:hAnsi="Arial" w:cs="Arial"/>
          <w:color w:val="000000"/>
          <w:sz w:val="20"/>
          <w:shd w:val="clear" w:color="auto" w:fill="FFFFFF"/>
        </w:rPr>
        <w:t>,</w:t>
      </w:r>
      <w:r w:rsidRPr="007F3D2B">
        <w:rPr>
          <w:rFonts w:ascii="Arial" w:hAnsi="Arial" w:cs="Arial"/>
          <w:color w:val="000000"/>
          <w:sz w:val="20"/>
          <w:shd w:val="clear" w:color="auto" w:fill="FFFFFF"/>
        </w:rPr>
        <w:t xml:space="preserve"> umožněno vznášet dotazy k oblasti veřejných zakázek prostřednictví Portálu o veřejných zakázkách. </w:t>
      </w:r>
    </w:p>
    <w:p w:rsidR="0054619D" w:rsidRPr="007F3D2B" w:rsidRDefault="0054619D" w:rsidP="007F3D2B">
      <w:pPr>
        <w:pStyle w:val="Odstavecseseznamem"/>
        <w:spacing w:before="120" w:line="276" w:lineRule="auto"/>
        <w:ind w:left="360"/>
        <w:rPr>
          <w:rFonts w:ascii="Arial" w:hAnsi="Arial" w:cs="Arial"/>
          <w:color w:val="000000"/>
          <w:sz w:val="20"/>
          <w:shd w:val="clear" w:color="auto" w:fill="FFFFFF"/>
        </w:rPr>
      </w:pPr>
    </w:p>
    <w:p w:rsidR="0054619D" w:rsidRPr="007F3D2B" w:rsidRDefault="0054619D" w:rsidP="007F3D2B">
      <w:pPr>
        <w:pStyle w:val="Odstavecseseznamem"/>
        <w:spacing w:before="120" w:line="276" w:lineRule="auto"/>
        <w:ind w:left="360"/>
        <w:rPr>
          <w:rFonts w:ascii="Arial" w:hAnsi="Arial" w:cs="Arial"/>
          <w:color w:val="000000"/>
          <w:sz w:val="20"/>
          <w:shd w:val="clear" w:color="auto" w:fill="FFFFFF"/>
        </w:rPr>
      </w:pPr>
      <w:r w:rsidRPr="007F3D2B">
        <w:rPr>
          <w:rFonts w:ascii="Arial" w:hAnsi="Arial" w:cs="Arial"/>
          <w:color w:val="000000"/>
          <w:sz w:val="20"/>
          <w:shd w:val="clear" w:color="auto" w:fill="FFFFFF"/>
        </w:rPr>
        <w:t>V souvislosti s implementací nejsou spojena žádná výrazná rizika.</w:t>
      </w:r>
    </w:p>
    <w:p w:rsidR="0054619D" w:rsidRPr="007F3D2B" w:rsidRDefault="0054619D" w:rsidP="007F3D2B">
      <w:pPr>
        <w:pStyle w:val="Odstavecseseznamem"/>
        <w:spacing w:before="120" w:line="276" w:lineRule="auto"/>
        <w:ind w:left="360"/>
        <w:rPr>
          <w:rFonts w:ascii="Arial" w:hAnsi="Arial" w:cs="Arial"/>
          <w:color w:val="000000"/>
          <w:sz w:val="20"/>
          <w:shd w:val="clear" w:color="auto" w:fill="FFFFFF"/>
        </w:rPr>
      </w:pPr>
    </w:p>
    <w:p w:rsidR="0054619D" w:rsidRPr="007F3D2B" w:rsidRDefault="005C1766" w:rsidP="007F3D2B">
      <w:pPr>
        <w:pStyle w:val="Odstavecseseznamem"/>
        <w:spacing w:before="120" w:line="276" w:lineRule="auto"/>
        <w:ind w:left="360"/>
        <w:rPr>
          <w:rFonts w:ascii="Arial" w:hAnsi="Arial" w:cs="Arial"/>
          <w:color w:val="000000"/>
          <w:sz w:val="20"/>
          <w:shd w:val="clear" w:color="auto" w:fill="FFFFFF"/>
        </w:rPr>
      </w:pPr>
      <w:r>
        <w:rPr>
          <w:rFonts w:ascii="Arial" w:hAnsi="Arial" w:cs="Arial"/>
          <w:color w:val="000000"/>
          <w:sz w:val="20"/>
          <w:shd w:val="clear" w:color="auto" w:fill="FFFFFF"/>
        </w:rPr>
        <w:t>Předpokládá se</w:t>
      </w:r>
      <w:r w:rsidR="0054619D" w:rsidRPr="007F3D2B">
        <w:rPr>
          <w:rFonts w:ascii="Arial" w:hAnsi="Arial" w:cs="Arial"/>
          <w:color w:val="000000"/>
          <w:sz w:val="20"/>
          <w:shd w:val="clear" w:color="auto" w:fill="FFFFFF"/>
        </w:rPr>
        <w:t>, že navrhovaná úprava vstoupí v účinnost 1. ledna 2016. Vzhledem k povinnosti transponovat směrnice do právního řádu České republiky, lze za nejzazší termín považovat 17. duben 2016.</w:t>
      </w:r>
    </w:p>
    <w:p w:rsidR="00D645BD" w:rsidRPr="007F3D2B" w:rsidRDefault="00D645BD" w:rsidP="007F3D2B">
      <w:pPr>
        <w:pStyle w:val="Odstavecseseznamem"/>
        <w:spacing w:before="120" w:line="276" w:lineRule="auto"/>
        <w:ind w:left="360"/>
        <w:rPr>
          <w:rFonts w:ascii="Arial" w:hAnsi="Arial" w:cs="Arial"/>
          <w:b/>
          <w:color w:val="000000"/>
          <w:sz w:val="20"/>
          <w:shd w:val="clear" w:color="auto" w:fill="FFFFFF"/>
        </w:rPr>
      </w:pPr>
    </w:p>
    <w:p w:rsidR="00D645BD" w:rsidRPr="007F3D2B" w:rsidRDefault="00D645BD" w:rsidP="007F3D2B">
      <w:pPr>
        <w:pStyle w:val="Odstavecseseznamem"/>
        <w:numPr>
          <w:ilvl w:val="0"/>
          <w:numId w:val="11"/>
        </w:numPr>
        <w:spacing w:before="120" w:line="276" w:lineRule="auto"/>
        <w:rPr>
          <w:rFonts w:ascii="Arial" w:hAnsi="Arial" w:cs="Arial"/>
          <w:b/>
          <w:color w:val="000000"/>
          <w:sz w:val="20"/>
          <w:shd w:val="clear" w:color="auto" w:fill="FFFFFF"/>
        </w:rPr>
      </w:pPr>
      <w:r w:rsidRPr="007F3D2B">
        <w:rPr>
          <w:rFonts w:ascii="Arial" w:hAnsi="Arial" w:cs="Arial"/>
          <w:b/>
          <w:color w:val="000000"/>
          <w:sz w:val="20"/>
          <w:shd w:val="clear" w:color="auto" w:fill="FFFFFF"/>
        </w:rPr>
        <w:t>Přezkum účinnosti regulace</w:t>
      </w:r>
    </w:p>
    <w:p w:rsidR="007C5728" w:rsidRPr="007F3D2B" w:rsidRDefault="00D645BD" w:rsidP="007F3D2B">
      <w:pPr>
        <w:pStyle w:val="Odstavecseseznamem"/>
        <w:spacing w:before="120" w:line="276" w:lineRule="auto"/>
        <w:ind w:left="360"/>
        <w:rPr>
          <w:rFonts w:ascii="Arial" w:hAnsi="Arial" w:cs="Arial"/>
          <w:color w:val="000000"/>
          <w:sz w:val="20"/>
          <w:shd w:val="clear" w:color="auto" w:fill="FFFFFF"/>
        </w:rPr>
      </w:pPr>
      <w:r w:rsidRPr="007F3D2B">
        <w:rPr>
          <w:rFonts w:ascii="Arial" w:hAnsi="Arial" w:cs="Arial"/>
          <w:color w:val="000000"/>
          <w:sz w:val="20"/>
          <w:shd w:val="clear" w:color="auto" w:fill="FFFFFF"/>
        </w:rPr>
        <w:t>Přezkum účinnosti navrhovaných opatření bude učiněn po několika letech poznatků fungování navrhované úpravy v praxi.</w:t>
      </w:r>
    </w:p>
    <w:p w:rsidR="00335C1E" w:rsidRPr="007F3D2B" w:rsidRDefault="00335C1E" w:rsidP="007F3D2B">
      <w:pPr>
        <w:pStyle w:val="Odstavecseseznamem"/>
        <w:spacing w:before="120" w:line="276" w:lineRule="auto"/>
        <w:ind w:left="360"/>
        <w:rPr>
          <w:rFonts w:ascii="Arial" w:hAnsi="Arial" w:cs="Arial"/>
          <w:b/>
          <w:color w:val="000000"/>
          <w:sz w:val="20"/>
          <w:shd w:val="clear" w:color="auto" w:fill="FFFFFF"/>
        </w:rPr>
      </w:pPr>
    </w:p>
    <w:p w:rsidR="008D23EA" w:rsidRPr="007F3D2B" w:rsidRDefault="008D23EA" w:rsidP="007F3D2B">
      <w:pPr>
        <w:pStyle w:val="Zkladntext"/>
        <w:numPr>
          <w:ilvl w:val="0"/>
          <w:numId w:val="11"/>
        </w:numPr>
        <w:spacing w:before="120" w:after="0" w:line="276" w:lineRule="auto"/>
        <w:jc w:val="both"/>
        <w:rPr>
          <w:rFonts w:ascii="Arial" w:hAnsi="Arial" w:cs="Arial"/>
          <w:b/>
          <w:sz w:val="20"/>
          <w:szCs w:val="20"/>
        </w:rPr>
      </w:pPr>
      <w:r w:rsidRPr="007F3D2B">
        <w:rPr>
          <w:rFonts w:ascii="Arial" w:hAnsi="Arial" w:cs="Arial"/>
          <w:b/>
          <w:sz w:val="20"/>
          <w:szCs w:val="20"/>
        </w:rPr>
        <w:t xml:space="preserve">Konzultace </w:t>
      </w:r>
    </w:p>
    <w:p w:rsidR="0098359F" w:rsidRPr="007F3D2B" w:rsidRDefault="0098359F" w:rsidP="007F3D2B">
      <w:pPr>
        <w:spacing w:before="120" w:line="276" w:lineRule="auto"/>
        <w:ind w:firstLine="567"/>
        <w:jc w:val="both"/>
        <w:rPr>
          <w:rFonts w:ascii="Arial" w:hAnsi="Arial" w:cs="Arial"/>
          <w:sz w:val="20"/>
          <w:szCs w:val="20"/>
        </w:rPr>
      </w:pPr>
      <w:r w:rsidRPr="007F3D2B">
        <w:rPr>
          <w:rFonts w:ascii="Arial" w:hAnsi="Arial" w:cs="Arial"/>
          <w:sz w:val="20"/>
          <w:szCs w:val="20"/>
        </w:rPr>
        <w:t xml:space="preserve">V rámci zpracování RIA byl návrh věcného záměru </w:t>
      </w:r>
      <w:r w:rsidR="008D23EA" w:rsidRPr="007F3D2B">
        <w:rPr>
          <w:rFonts w:ascii="Arial" w:hAnsi="Arial" w:cs="Arial"/>
          <w:sz w:val="20"/>
          <w:szCs w:val="20"/>
        </w:rPr>
        <w:t>podrobně projednáván</w:t>
      </w:r>
      <w:r w:rsidRPr="007F3D2B">
        <w:rPr>
          <w:rFonts w:ascii="Arial" w:hAnsi="Arial" w:cs="Arial"/>
          <w:sz w:val="20"/>
          <w:szCs w:val="20"/>
        </w:rPr>
        <w:t xml:space="preserve"> na následujících pracovních skupinách: </w:t>
      </w:r>
    </w:p>
    <w:p w:rsidR="0098359F" w:rsidRPr="007F3D2B" w:rsidRDefault="0098359F" w:rsidP="007F3D2B">
      <w:pPr>
        <w:spacing w:before="120" w:line="276" w:lineRule="auto"/>
        <w:ind w:firstLine="567"/>
        <w:jc w:val="both"/>
        <w:rPr>
          <w:rFonts w:ascii="Arial" w:hAnsi="Arial" w:cs="Arial"/>
          <w:sz w:val="20"/>
          <w:szCs w:val="20"/>
        </w:rPr>
      </w:pPr>
    </w:p>
    <w:p w:rsidR="0098359F" w:rsidRPr="007F3D2B" w:rsidRDefault="0098359F" w:rsidP="007F3D2B">
      <w:pPr>
        <w:spacing w:before="120" w:line="276" w:lineRule="auto"/>
        <w:ind w:firstLine="567"/>
        <w:jc w:val="both"/>
        <w:rPr>
          <w:rFonts w:ascii="Arial" w:hAnsi="Arial" w:cs="Arial"/>
          <w:sz w:val="20"/>
          <w:szCs w:val="20"/>
        </w:rPr>
      </w:pPr>
      <w:r w:rsidRPr="007F3D2B">
        <w:rPr>
          <w:rFonts w:ascii="Arial" w:hAnsi="Arial" w:cs="Arial"/>
          <w:sz w:val="20"/>
          <w:szCs w:val="20"/>
        </w:rPr>
        <w:t xml:space="preserve">Kolegium ministryně pro místní rozvoj pro oblast veřejného </w:t>
      </w:r>
      <w:r w:rsidR="00957801" w:rsidRPr="007F3D2B">
        <w:rPr>
          <w:rFonts w:ascii="Arial" w:hAnsi="Arial" w:cs="Arial"/>
          <w:sz w:val="20"/>
          <w:szCs w:val="20"/>
        </w:rPr>
        <w:t>investování, které</w:t>
      </w:r>
      <w:r w:rsidR="004D03C7" w:rsidRPr="007F3D2B">
        <w:rPr>
          <w:rFonts w:ascii="Arial" w:hAnsi="Arial" w:cs="Arial"/>
          <w:sz w:val="20"/>
          <w:szCs w:val="20"/>
        </w:rPr>
        <w:t xml:space="preserve"> jako poradní orgán sdružující zástupce odborné veřejnosti </w:t>
      </w:r>
      <w:r w:rsidR="008A1D39" w:rsidRPr="007F3D2B">
        <w:rPr>
          <w:rFonts w:ascii="Arial" w:hAnsi="Arial" w:cs="Arial"/>
          <w:sz w:val="20"/>
          <w:szCs w:val="20"/>
        </w:rPr>
        <w:t>řeší</w:t>
      </w:r>
      <w:r w:rsidR="004D03C7" w:rsidRPr="007F3D2B">
        <w:rPr>
          <w:rFonts w:ascii="Arial" w:hAnsi="Arial" w:cs="Arial"/>
          <w:sz w:val="20"/>
          <w:szCs w:val="20"/>
        </w:rPr>
        <w:t xml:space="preserve"> budoucí směřování zadávání veřejných zakázek v ČR.</w:t>
      </w:r>
    </w:p>
    <w:p w:rsidR="0098359F" w:rsidRPr="007F3D2B" w:rsidRDefault="0098359F" w:rsidP="007F3D2B">
      <w:pPr>
        <w:spacing w:before="120" w:line="276" w:lineRule="auto"/>
        <w:ind w:firstLine="567"/>
        <w:jc w:val="both"/>
        <w:rPr>
          <w:rFonts w:ascii="Arial" w:hAnsi="Arial" w:cs="Arial"/>
          <w:sz w:val="20"/>
          <w:szCs w:val="20"/>
        </w:rPr>
      </w:pPr>
    </w:p>
    <w:p w:rsidR="0098359F" w:rsidRPr="007F3D2B" w:rsidRDefault="0098359F" w:rsidP="007F3D2B">
      <w:pPr>
        <w:spacing w:before="120" w:line="276" w:lineRule="auto"/>
        <w:ind w:firstLine="567"/>
        <w:jc w:val="both"/>
        <w:rPr>
          <w:rFonts w:ascii="Arial" w:hAnsi="Arial" w:cs="Arial"/>
          <w:sz w:val="20"/>
          <w:szCs w:val="20"/>
        </w:rPr>
      </w:pPr>
      <w:r w:rsidRPr="007F3D2B">
        <w:rPr>
          <w:rFonts w:ascii="Arial" w:hAnsi="Arial" w:cs="Arial"/>
          <w:sz w:val="20"/>
          <w:szCs w:val="20"/>
        </w:rPr>
        <w:t>E</w:t>
      </w:r>
      <w:r w:rsidR="004D03C7" w:rsidRPr="007F3D2B">
        <w:rPr>
          <w:rFonts w:ascii="Arial" w:hAnsi="Arial" w:cs="Arial"/>
          <w:sz w:val="20"/>
          <w:szCs w:val="20"/>
        </w:rPr>
        <w:t xml:space="preserve">xpertní skupiny, </w:t>
      </w:r>
      <w:r w:rsidR="00516CD0" w:rsidRPr="007F3D2B">
        <w:rPr>
          <w:rFonts w:ascii="Arial" w:hAnsi="Arial" w:cs="Arial"/>
          <w:sz w:val="20"/>
          <w:szCs w:val="20"/>
        </w:rPr>
        <w:t xml:space="preserve">jejichž </w:t>
      </w:r>
      <w:r w:rsidR="004D03C7" w:rsidRPr="007F3D2B">
        <w:rPr>
          <w:rFonts w:ascii="Arial" w:hAnsi="Arial" w:cs="Arial"/>
          <w:sz w:val="20"/>
          <w:szCs w:val="20"/>
        </w:rPr>
        <w:t>členy jsou zástupci z řad zadavatelů, dodavatelů, dohledových orgánů, odborných organizací a neziskových organizací, kter</w:t>
      </w:r>
      <w:r w:rsidR="00516CD0" w:rsidRPr="007F3D2B">
        <w:rPr>
          <w:rFonts w:ascii="Arial" w:hAnsi="Arial" w:cs="Arial"/>
          <w:sz w:val="20"/>
          <w:szCs w:val="20"/>
        </w:rPr>
        <w:t>é</w:t>
      </w:r>
      <w:r w:rsidR="004D03C7" w:rsidRPr="007F3D2B">
        <w:rPr>
          <w:rFonts w:ascii="Arial" w:hAnsi="Arial" w:cs="Arial"/>
          <w:sz w:val="20"/>
          <w:szCs w:val="20"/>
        </w:rPr>
        <w:t xml:space="preserve"> poskytuj</w:t>
      </w:r>
      <w:r w:rsidR="00516CD0" w:rsidRPr="007F3D2B">
        <w:rPr>
          <w:rFonts w:ascii="Arial" w:hAnsi="Arial" w:cs="Arial"/>
          <w:sz w:val="20"/>
          <w:szCs w:val="20"/>
        </w:rPr>
        <w:t>í</w:t>
      </w:r>
      <w:r w:rsidR="004D03C7" w:rsidRPr="007F3D2B">
        <w:rPr>
          <w:rFonts w:ascii="Arial" w:hAnsi="Arial" w:cs="Arial"/>
          <w:sz w:val="20"/>
          <w:szCs w:val="20"/>
        </w:rPr>
        <w:t xml:space="preserve"> první zpětnou vazbu k navrhovaným opatřením v oblasti veřejných zakázek a slouží jako místo pro předávání podnětů mezi gestorem zákona a odbornou veřejností</w:t>
      </w:r>
      <w:r w:rsidR="00516CD0" w:rsidRPr="007F3D2B">
        <w:rPr>
          <w:rFonts w:ascii="Arial" w:hAnsi="Arial" w:cs="Arial"/>
          <w:sz w:val="20"/>
          <w:szCs w:val="20"/>
        </w:rPr>
        <w:t>.</w:t>
      </w:r>
    </w:p>
    <w:p w:rsidR="008E6983" w:rsidRPr="007F3D2B" w:rsidRDefault="00E008DC" w:rsidP="007F3D2B">
      <w:pPr>
        <w:spacing w:before="120" w:line="276" w:lineRule="auto"/>
        <w:ind w:firstLine="567"/>
        <w:jc w:val="both"/>
        <w:rPr>
          <w:rFonts w:ascii="Arial" w:hAnsi="Arial" w:cs="Arial"/>
          <w:sz w:val="20"/>
          <w:szCs w:val="20"/>
        </w:rPr>
      </w:pPr>
      <w:r w:rsidRPr="007F3D2B">
        <w:rPr>
          <w:rFonts w:ascii="Arial" w:hAnsi="Arial" w:cs="Arial"/>
          <w:sz w:val="20"/>
          <w:szCs w:val="20"/>
        </w:rPr>
        <w:t>V rámci výše uvedených pracovních skupin je tedy spolupracováno se zástupci těchto subjektů</w:t>
      </w:r>
      <w:r w:rsidR="008E6983" w:rsidRPr="007F3D2B">
        <w:rPr>
          <w:rFonts w:ascii="Arial" w:hAnsi="Arial" w:cs="Arial"/>
          <w:sz w:val="20"/>
          <w:szCs w:val="20"/>
        </w:rPr>
        <w:t>:</w:t>
      </w:r>
    </w:p>
    <w:p w:rsidR="008E6983" w:rsidRPr="007F3D2B" w:rsidRDefault="008E6983" w:rsidP="007F3D2B">
      <w:pPr>
        <w:spacing w:before="120" w:line="276" w:lineRule="auto"/>
        <w:ind w:firstLine="567"/>
        <w:jc w:val="both"/>
        <w:rPr>
          <w:rFonts w:ascii="Arial" w:hAnsi="Arial" w:cs="Arial"/>
          <w:sz w:val="20"/>
          <w:szCs w:val="20"/>
        </w:rPr>
      </w:pPr>
    </w:p>
    <w:p w:rsidR="008D64A9" w:rsidRPr="007F3D2B" w:rsidRDefault="008D64A9" w:rsidP="007F3D2B">
      <w:pPr>
        <w:spacing w:before="120" w:line="276" w:lineRule="auto"/>
        <w:ind w:firstLine="567"/>
        <w:jc w:val="both"/>
        <w:rPr>
          <w:rFonts w:ascii="Arial" w:hAnsi="Arial" w:cs="Arial"/>
          <w:sz w:val="20"/>
          <w:szCs w:val="20"/>
        </w:rPr>
      </w:pPr>
      <w:r w:rsidRPr="007F3D2B">
        <w:rPr>
          <w:rFonts w:ascii="Arial" w:hAnsi="Arial" w:cs="Arial"/>
          <w:sz w:val="20"/>
          <w:szCs w:val="20"/>
        </w:rPr>
        <w:t>Ministerstvo pro místní rozvoj</w:t>
      </w:r>
    </w:p>
    <w:p w:rsidR="008D64A9" w:rsidRPr="007F3D2B" w:rsidRDefault="008D64A9" w:rsidP="007F3D2B">
      <w:pPr>
        <w:spacing w:before="120" w:line="276" w:lineRule="auto"/>
        <w:ind w:firstLine="567"/>
        <w:jc w:val="both"/>
        <w:rPr>
          <w:rFonts w:ascii="Arial" w:hAnsi="Arial" w:cs="Arial"/>
          <w:sz w:val="20"/>
          <w:szCs w:val="20"/>
        </w:rPr>
      </w:pPr>
      <w:r w:rsidRPr="007F3D2B">
        <w:rPr>
          <w:rFonts w:ascii="Arial" w:hAnsi="Arial" w:cs="Arial"/>
          <w:sz w:val="20"/>
          <w:szCs w:val="20"/>
        </w:rPr>
        <w:t>Ministerstvo vnitra</w:t>
      </w:r>
    </w:p>
    <w:p w:rsidR="008D64A9" w:rsidRPr="007F3D2B" w:rsidRDefault="008D64A9" w:rsidP="007F3D2B">
      <w:pPr>
        <w:spacing w:before="120" w:line="276" w:lineRule="auto"/>
        <w:ind w:firstLine="567"/>
        <w:jc w:val="both"/>
        <w:rPr>
          <w:rFonts w:ascii="Arial" w:hAnsi="Arial" w:cs="Arial"/>
          <w:sz w:val="20"/>
          <w:szCs w:val="20"/>
        </w:rPr>
      </w:pPr>
      <w:r w:rsidRPr="007F3D2B">
        <w:rPr>
          <w:rFonts w:ascii="Arial" w:hAnsi="Arial" w:cs="Arial"/>
          <w:sz w:val="20"/>
          <w:szCs w:val="20"/>
        </w:rPr>
        <w:t>Ministerstvo financí</w:t>
      </w:r>
    </w:p>
    <w:p w:rsidR="008D64A9" w:rsidRPr="007F3D2B" w:rsidRDefault="008D64A9" w:rsidP="007F3D2B">
      <w:pPr>
        <w:spacing w:before="120" w:line="276" w:lineRule="auto"/>
        <w:ind w:firstLine="567"/>
        <w:jc w:val="both"/>
        <w:rPr>
          <w:rFonts w:ascii="Arial" w:hAnsi="Arial" w:cs="Arial"/>
          <w:sz w:val="20"/>
          <w:szCs w:val="20"/>
        </w:rPr>
      </w:pPr>
      <w:r w:rsidRPr="007F3D2B">
        <w:rPr>
          <w:rFonts w:ascii="Arial" w:hAnsi="Arial" w:cs="Arial"/>
          <w:sz w:val="20"/>
          <w:szCs w:val="20"/>
        </w:rPr>
        <w:t>Ministerstvo průmyslu a obchodu</w:t>
      </w:r>
    </w:p>
    <w:p w:rsidR="008D64A9" w:rsidRPr="007F3D2B" w:rsidRDefault="008E6983" w:rsidP="007F3D2B">
      <w:pPr>
        <w:spacing w:before="120" w:line="276" w:lineRule="auto"/>
        <w:ind w:firstLine="567"/>
        <w:jc w:val="both"/>
        <w:rPr>
          <w:rFonts w:ascii="Arial" w:hAnsi="Arial" w:cs="Arial"/>
          <w:sz w:val="20"/>
          <w:szCs w:val="20"/>
        </w:rPr>
      </w:pPr>
      <w:r w:rsidRPr="007F3D2B">
        <w:rPr>
          <w:rFonts w:ascii="Arial" w:hAnsi="Arial" w:cs="Arial"/>
          <w:sz w:val="20"/>
          <w:szCs w:val="20"/>
        </w:rPr>
        <w:t>Ministerstvo školství, mládeže a tělovýchovy</w:t>
      </w:r>
    </w:p>
    <w:p w:rsidR="008D64A9" w:rsidRPr="007F3D2B" w:rsidRDefault="008E6983" w:rsidP="007F3D2B">
      <w:pPr>
        <w:spacing w:before="120" w:line="276" w:lineRule="auto"/>
        <w:ind w:firstLine="567"/>
        <w:jc w:val="both"/>
        <w:rPr>
          <w:rFonts w:ascii="Arial" w:hAnsi="Arial" w:cs="Arial"/>
          <w:sz w:val="20"/>
          <w:szCs w:val="20"/>
        </w:rPr>
      </w:pPr>
      <w:r w:rsidRPr="007F3D2B">
        <w:rPr>
          <w:rFonts w:ascii="Arial" w:hAnsi="Arial" w:cs="Arial"/>
          <w:sz w:val="20"/>
          <w:szCs w:val="20"/>
        </w:rPr>
        <w:t>Ministerstvo dopravy</w:t>
      </w:r>
    </w:p>
    <w:p w:rsidR="008D64A9" w:rsidRPr="007F3D2B" w:rsidRDefault="008E6983" w:rsidP="007F3D2B">
      <w:pPr>
        <w:spacing w:before="120" w:line="276" w:lineRule="auto"/>
        <w:ind w:firstLine="567"/>
        <w:jc w:val="both"/>
        <w:rPr>
          <w:rFonts w:ascii="Arial" w:hAnsi="Arial" w:cs="Arial"/>
          <w:sz w:val="20"/>
          <w:szCs w:val="20"/>
        </w:rPr>
      </w:pPr>
      <w:r w:rsidRPr="007F3D2B">
        <w:rPr>
          <w:rFonts w:ascii="Arial" w:hAnsi="Arial" w:cs="Arial"/>
          <w:sz w:val="20"/>
          <w:szCs w:val="20"/>
        </w:rPr>
        <w:t>Legislativní rada vlády</w:t>
      </w:r>
    </w:p>
    <w:p w:rsidR="008D64A9" w:rsidRPr="007F3D2B" w:rsidRDefault="008D64A9" w:rsidP="007F3D2B">
      <w:pPr>
        <w:spacing w:before="120" w:line="276" w:lineRule="auto"/>
        <w:ind w:firstLine="567"/>
        <w:jc w:val="both"/>
        <w:rPr>
          <w:rFonts w:ascii="Arial" w:hAnsi="Arial" w:cs="Arial"/>
          <w:sz w:val="20"/>
          <w:szCs w:val="20"/>
        </w:rPr>
      </w:pPr>
      <w:r w:rsidRPr="007F3D2B">
        <w:rPr>
          <w:rFonts w:ascii="Arial" w:hAnsi="Arial" w:cs="Arial"/>
          <w:sz w:val="20"/>
          <w:szCs w:val="20"/>
        </w:rPr>
        <w:t>Svaz měst a obcí</w:t>
      </w:r>
    </w:p>
    <w:p w:rsidR="008D64A9" w:rsidRPr="007F3D2B" w:rsidRDefault="008E6983" w:rsidP="007F3D2B">
      <w:pPr>
        <w:spacing w:before="120" w:line="276" w:lineRule="auto"/>
        <w:ind w:firstLine="567"/>
        <w:jc w:val="both"/>
        <w:rPr>
          <w:rFonts w:ascii="Arial" w:hAnsi="Arial" w:cs="Arial"/>
          <w:sz w:val="20"/>
          <w:szCs w:val="20"/>
        </w:rPr>
      </w:pPr>
      <w:r w:rsidRPr="007F3D2B">
        <w:rPr>
          <w:rFonts w:ascii="Arial" w:hAnsi="Arial" w:cs="Arial"/>
          <w:sz w:val="20"/>
          <w:szCs w:val="20"/>
        </w:rPr>
        <w:t>Asociace krajů</w:t>
      </w:r>
    </w:p>
    <w:p w:rsidR="008D64A9" w:rsidRPr="007F3D2B" w:rsidRDefault="008D64A9" w:rsidP="007F3D2B">
      <w:pPr>
        <w:spacing w:before="120" w:line="276" w:lineRule="auto"/>
        <w:ind w:firstLine="567"/>
        <w:jc w:val="both"/>
        <w:rPr>
          <w:rFonts w:ascii="Arial" w:hAnsi="Arial" w:cs="Arial"/>
          <w:sz w:val="20"/>
          <w:szCs w:val="20"/>
        </w:rPr>
      </w:pPr>
      <w:r w:rsidRPr="007F3D2B">
        <w:rPr>
          <w:rFonts w:ascii="Arial" w:hAnsi="Arial" w:cs="Arial"/>
          <w:sz w:val="20"/>
          <w:szCs w:val="20"/>
        </w:rPr>
        <w:t>Úřad pro ochranu hospodářské soutěže</w:t>
      </w:r>
    </w:p>
    <w:p w:rsidR="008D64A9" w:rsidRPr="007F3D2B" w:rsidRDefault="008D64A9" w:rsidP="007F3D2B">
      <w:pPr>
        <w:spacing w:before="120" w:line="276" w:lineRule="auto"/>
        <w:ind w:firstLine="567"/>
        <w:jc w:val="both"/>
        <w:rPr>
          <w:rFonts w:ascii="Arial" w:hAnsi="Arial" w:cs="Arial"/>
          <w:sz w:val="20"/>
          <w:szCs w:val="20"/>
        </w:rPr>
      </w:pPr>
      <w:r w:rsidRPr="007F3D2B">
        <w:rPr>
          <w:rFonts w:ascii="Arial" w:hAnsi="Arial" w:cs="Arial"/>
          <w:sz w:val="20"/>
          <w:szCs w:val="20"/>
        </w:rPr>
        <w:t>Krajský soud Brno</w:t>
      </w:r>
    </w:p>
    <w:p w:rsidR="008D64A9" w:rsidRPr="007F3D2B" w:rsidRDefault="008E6983" w:rsidP="007F3D2B">
      <w:pPr>
        <w:spacing w:before="120" w:line="276" w:lineRule="auto"/>
        <w:ind w:firstLine="567"/>
        <w:jc w:val="both"/>
        <w:rPr>
          <w:rFonts w:ascii="Arial" w:hAnsi="Arial" w:cs="Arial"/>
          <w:sz w:val="20"/>
          <w:szCs w:val="20"/>
        </w:rPr>
      </w:pPr>
      <w:r w:rsidRPr="007F3D2B">
        <w:rPr>
          <w:rFonts w:ascii="Arial" w:hAnsi="Arial" w:cs="Arial"/>
          <w:sz w:val="20"/>
          <w:szCs w:val="20"/>
        </w:rPr>
        <w:t>Energetický regulační úřad</w:t>
      </w:r>
    </w:p>
    <w:p w:rsidR="008D64A9" w:rsidRPr="007F3D2B" w:rsidRDefault="00E008DC" w:rsidP="007F3D2B">
      <w:pPr>
        <w:spacing w:before="120" w:line="276" w:lineRule="auto"/>
        <w:ind w:firstLine="567"/>
        <w:jc w:val="both"/>
        <w:rPr>
          <w:rFonts w:ascii="Arial" w:hAnsi="Arial" w:cs="Arial"/>
          <w:sz w:val="20"/>
          <w:szCs w:val="20"/>
        </w:rPr>
      </w:pPr>
      <w:r w:rsidRPr="007F3D2B">
        <w:rPr>
          <w:rFonts w:ascii="Arial" w:hAnsi="Arial" w:cs="Arial"/>
          <w:sz w:val="20"/>
          <w:szCs w:val="20"/>
        </w:rPr>
        <w:t>Asociace pro rozvoj infrastruktury</w:t>
      </w:r>
    </w:p>
    <w:p w:rsidR="008D64A9" w:rsidRPr="007F3D2B" w:rsidRDefault="008D64A9" w:rsidP="007F3D2B">
      <w:pPr>
        <w:spacing w:before="120" w:line="276" w:lineRule="auto"/>
        <w:ind w:firstLine="567"/>
        <w:jc w:val="both"/>
        <w:rPr>
          <w:rFonts w:ascii="Arial" w:hAnsi="Arial" w:cs="Arial"/>
          <w:sz w:val="20"/>
          <w:szCs w:val="20"/>
        </w:rPr>
      </w:pPr>
      <w:r w:rsidRPr="007F3D2B">
        <w:rPr>
          <w:rFonts w:ascii="Arial" w:hAnsi="Arial" w:cs="Arial"/>
          <w:sz w:val="20"/>
          <w:szCs w:val="20"/>
        </w:rPr>
        <w:t xml:space="preserve">Asociace pro veřejné zakázky </w:t>
      </w:r>
    </w:p>
    <w:p w:rsidR="008D64A9" w:rsidRPr="007F3D2B" w:rsidRDefault="008D64A9" w:rsidP="007F3D2B">
      <w:pPr>
        <w:spacing w:before="120" w:line="276" w:lineRule="auto"/>
        <w:ind w:firstLine="567"/>
        <w:jc w:val="both"/>
        <w:rPr>
          <w:rFonts w:ascii="Arial" w:hAnsi="Arial" w:cs="Arial"/>
          <w:sz w:val="20"/>
          <w:szCs w:val="20"/>
        </w:rPr>
      </w:pPr>
      <w:r w:rsidRPr="007F3D2B">
        <w:rPr>
          <w:rFonts w:ascii="Arial" w:hAnsi="Arial" w:cs="Arial"/>
          <w:sz w:val="20"/>
          <w:szCs w:val="20"/>
        </w:rPr>
        <w:t>Komora administrátorů veřejných zakázek</w:t>
      </w:r>
    </w:p>
    <w:p w:rsidR="008D64A9" w:rsidRPr="007F3D2B" w:rsidRDefault="008D64A9" w:rsidP="007F3D2B">
      <w:pPr>
        <w:spacing w:before="120" w:line="276" w:lineRule="auto"/>
        <w:ind w:firstLine="567"/>
        <w:jc w:val="both"/>
        <w:rPr>
          <w:rFonts w:ascii="Arial" w:hAnsi="Arial" w:cs="Arial"/>
          <w:sz w:val="20"/>
          <w:szCs w:val="20"/>
        </w:rPr>
      </w:pPr>
      <w:r w:rsidRPr="007F3D2B">
        <w:rPr>
          <w:rFonts w:ascii="Arial" w:hAnsi="Arial" w:cs="Arial"/>
          <w:sz w:val="20"/>
          <w:szCs w:val="20"/>
        </w:rPr>
        <w:lastRenderedPageBreak/>
        <w:t>Platforma pro transparentní veřejné zakázky</w:t>
      </w:r>
    </w:p>
    <w:p w:rsidR="008D64A9" w:rsidRPr="007F3D2B" w:rsidRDefault="008D64A9" w:rsidP="007F3D2B">
      <w:pPr>
        <w:spacing w:before="120" w:line="276" w:lineRule="auto"/>
        <w:ind w:firstLine="567"/>
        <w:jc w:val="both"/>
        <w:rPr>
          <w:rFonts w:ascii="Arial" w:hAnsi="Arial" w:cs="Arial"/>
          <w:sz w:val="20"/>
          <w:szCs w:val="20"/>
        </w:rPr>
      </w:pPr>
      <w:r w:rsidRPr="007F3D2B">
        <w:rPr>
          <w:rFonts w:ascii="Arial" w:hAnsi="Arial" w:cs="Arial"/>
          <w:sz w:val="20"/>
          <w:szCs w:val="20"/>
        </w:rPr>
        <w:t>Svaz podnikatelů ve stavebnictví</w:t>
      </w:r>
    </w:p>
    <w:p w:rsidR="008D64A9" w:rsidRPr="007F3D2B" w:rsidRDefault="008D64A9" w:rsidP="007F3D2B">
      <w:pPr>
        <w:spacing w:before="120" w:line="276" w:lineRule="auto"/>
        <w:ind w:firstLine="567"/>
        <w:jc w:val="both"/>
        <w:rPr>
          <w:rFonts w:ascii="Arial" w:hAnsi="Arial" w:cs="Arial"/>
          <w:sz w:val="20"/>
          <w:szCs w:val="20"/>
        </w:rPr>
      </w:pPr>
      <w:r w:rsidRPr="007F3D2B">
        <w:rPr>
          <w:rFonts w:ascii="Arial" w:hAnsi="Arial" w:cs="Arial"/>
          <w:sz w:val="20"/>
          <w:szCs w:val="20"/>
        </w:rPr>
        <w:t>Č</w:t>
      </w:r>
      <w:r w:rsidR="00E008DC" w:rsidRPr="007F3D2B">
        <w:rPr>
          <w:rFonts w:ascii="Arial" w:hAnsi="Arial" w:cs="Arial"/>
          <w:sz w:val="20"/>
          <w:szCs w:val="20"/>
        </w:rPr>
        <w:t>eská komora autorizovaných inženýrů a techniků činných ve výstavbě</w:t>
      </w:r>
    </w:p>
    <w:p w:rsidR="008D64A9" w:rsidRPr="007F3D2B" w:rsidRDefault="008E6983" w:rsidP="007F3D2B">
      <w:pPr>
        <w:spacing w:before="120" w:line="276" w:lineRule="auto"/>
        <w:ind w:firstLine="567"/>
        <w:jc w:val="both"/>
        <w:rPr>
          <w:rFonts w:ascii="Arial" w:hAnsi="Arial" w:cs="Arial"/>
          <w:sz w:val="20"/>
          <w:szCs w:val="20"/>
        </w:rPr>
      </w:pPr>
      <w:r w:rsidRPr="007F3D2B">
        <w:rPr>
          <w:rFonts w:ascii="Arial" w:hAnsi="Arial" w:cs="Arial"/>
          <w:sz w:val="20"/>
          <w:szCs w:val="20"/>
        </w:rPr>
        <w:t>Rekonstrukce státu</w:t>
      </w:r>
    </w:p>
    <w:p w:rsidR="008D64A9" w:rsidRPr="007F3D2B" w:rsidRDefault="008E6983" w:rsidP="007F3D2B">
      <w:pPr>
        <w:spacing w:before="120" w:line="276" w:lineRule="auto"/>
        <w:ind w:firstLine="567"/>
        <w:jc w:val="both"/>
        <w:rPr>
          <w:rFonts w:ascii="Arial" w:hAnsi="Arial" w:cs="Arial"/>
          <w:sz w:val="20"/>
          <w:szCs w:val="20"/>
        </w:rPr>
      </w:pPr>
      <w:r w:rsidRPr="007F3D2B">
        <w:rPr>
          <w:rFonts w:ascii="Arial" w:hAnsi="Arial" w:cs="Arial"/>
          <w:sz w:val="20"/>
          <w:szCs w:val="20"/>
        </w:rPr>
        <w:t>Oživení</w:t>
      </w:r>
    </w:p>
    <w:p w:rsidR="008D64A9" w:rsidRPr="007F3D2B" w:rsidRDefault="008E6983" w:rsidP="007F3D2B">
      <w:pPr>
        <w:spacing w:before="120" w:line="276" w:lineRule="auto"/>
        <w:ind w:firstLine="567"/>
        <w:jc w:val="both"/>
        <w:rPr>
          <w:rFonts w:ascii="Arial" w:hAnsi="Arial" w:cs="Arial"/>
          <w:sz w:val="20"/>
          <w:szCs w:val="20"/>
        </w:rPr>
      </w:pPr>
      <w:r w:rsidRPr="007F3D2B">
        <w:rPr>
          <w:rFonts w:ascii="Arial" w:hAnsi="Arial" w:cs="Arial"/>
          <w:sz w:val="20"/>
          <w:szCs w:val="20"/>
        </w:rPr>
        <w:t>Transparency International</w:t>
      </w:r>
    </w:p>
    <w:p w:rsidR="008D64A9" w:rsidRPr="007F3D2B" w:rsidRDefault="008E6983" w:rsidP="007F3D2B">
      <w:pPr>
        <w:spacing w:before="120" w:line="276" w:lineRule="auto"/>
        <w:ind w:firstLine="567"/>
        <w:jc w:val="both"/>
        <w:rPr>
          <w:rFonts w:ascii="Arial" w:hAnsi="Arial" w:cs="Arial"/>
          <w:sz w:val="20"/>
          <w:szCs w:val="20"/>
        </w:rPr>
      </w:pPr>
      <w:r w:rsidRPr="007F3D2B">
        <w:rPr>
          <w:rFonts w:ascii="Arial" w:hAnsi="Arial" w:cs="Arial"/>
          <w:sz w:val="20"/>
          <w:szCs w:val="20"/>
        </w:rPr>
        <w:t>Veřejnost proti korupci</w:t>
      </w:r>
    </w:p>
    <w:p w:rsidR="008D64A9" w:rsidRPr="007F3D2B" w:rsidRDefault="008E6983" w:rsidP="007F3D2B">
      <w:pPr>
        <w:spacing w:before="120" w:line="276" w:lineRule="auto"/>
        <w:ind w:firstLine="567"/>
        <w:jc w:val="both"/>
        <w:rPr>
          <w:rFonts w:ascii="Arial" w:hAnsi="Arial" w:cs="Arial"/>
          <w:sz w:val="20"/>
          <w:szCs w:val="20"/>
        </w:rPr>
      </w:pPr>
      <w:r w:rsidRPr="007F3D2B">
        <w:rPr>
          <w:rFonts w:ascii="Arial" w:hAnsi="Arial" w:cs="Arial"/>
          <w:sz w:val="20"/>
          <w:szCs w:val="20"/>
        </w:rPr>
        <w:t>Vraťte nám stát</w:t>
      </w:r>
    </w:p>
    <w:p w:rsidR="0098359F" w:rsidRPr="007F3D2B" w:rsidRDefault="0098359F" w:rsidP="007F3D2B">
      <w:pPr>
        <w:spacing w:before="120" w:line="276" w:lineRule="auto"/>
        <w:ind w:firstLine="567"/>
        <w:jc w:val="both"/>
        <w:rPr>
          <w:rFonts w:ascii="Arial" w:hAnsi="Arial" w:cs="Arial"/>
          <w:sz w:val="20"/>
          <w:szCs w:val="20"/>
        </w:rPr>
      </w:pPr>
    </w:p>
    <w:p w:rsidR="0098359F" w:rsidRPr="007F3D2B" w:rsidRDefault="0098359F" w:rsidP="007F3D2B">
      <w:pPr>
        <w:spacing w:before="120" w:line="276" w:lineRule="auto"/>
        <w:ind w:firstLine="567"/>
        <w:jc w:val="both"/>
        <w:rPr>
          <w:rFonts w:ascii="Arial" w:hAnsi="Arial" w:cs="Arial"/>
          <w:sz w:val="20"/>
          <w:szCs w:val="20"/>
        </w:rPr>
      </w:pPr>
      <w:r w:rsidRPr="007F3D2B">
        <w:rPr>
          <w:rFonts w:ascii="Arial" w:hAnsi="Arial" w:cs="Arial"/>
          <w:sz w:val="20"/>
          <w:szCs w:val="20"/>
        </w:rPr>
        <w:t xml:space="preserve">Výsledky konzultací byly zohledněny při zpracování </w:t>
      </w:r>
      <w:r w:rsidR="00516CD0" w:rsidRPr="007F3D2B">
        <w:rPr>
          <w:rFonts w:ascii="Arial" w:hAnsi="Arial" w:cs="Arial"/>
          <w:sz w:val="20"/>
          <w:szCs w:val="20"/>
        </w:rPr>
        <w:t xml:space="preserve">tohoto </w:t>
      </w:r>
      <w:r w:rsidRPr="007F3D2B">
        <w:rPr>
          <w:rFonts w:ascii="Arial" w:hAnsi="Arial" w:cs="Arial"/>
          <w:sz w:val="20"/>
          <w:szCs w:val="20"/>
        </w:rPr>
        <w:t>věcného záměru.</w:t>
      </w:r>
    </w:p>
    <w:p w:rsidR="008D64A9" w:rsidRPr="007F3D2B" w:rsidRDefault="008D64A9" w:rsidP="007F3D2B">
      <w:pPr>
        <w:spacing w:before="120" w:line="276" w:lineRule="auto"/>
        <w:jc w:val="both"/>
        <w:rPr>
          <w:rFonts w:ascii="Arial" w:hAnsi="Arial" w:cs="Arial"/>
          <w:sz w:val="20"/>
          <w:szCs w:val="20"/>
        </w:rPr>
      </w:pPr>
    </w:p>
    <w:p w:rsidR="008D64A9" w:rsidRPr="007F3D2B" w:rsidRDefault="007C5728" w:rsidP="007F3D2B">
      <w:pPr>
        <w:spacing w:before="120" w:line="276" w:lineRule="auto"/>
        <w:jc w:val="both"/>
        <w:rPr>
          <w:rFonts w:ascii="Arial" w:hAnsi="Arial" w:cs="Arial"/>
          <w:b/>
          <w:sz w:val="20"/>
          <w:szCs w:val="20"/>
        </w:rPr>
      </w:pPr>
      <w:r w:rsidRPr="007F3D2B">
        <w:rPr>
          <w:rFonts w:ascii="Arial" w:hAnsi="Arial" w:cs="Arial"/>
          <w:b/>
          <w:sz w:val="20"/>
          <w:szCs w:val="20"/>
        </w:rPr>
        <w:t>Kontakt na zpracovatele RIA</w:t>
      </w:r>
    </w:p>
    <w:p w:rsidR="00D11A64" w:rsidRPr="007F3D2B" w:rsidRDefault="00192D84" w:rsidP="007F3D2B">
      <w:pPr>
        <w:spacing w:before="120" w:line="276" w:lineRule="auto"/>
        <w:jc w:val="both"/>
        <w:rPr>
          <w:rFonts w:ascii="Arial" w:hAnsi="Arial" w:cs="Arial"/>
          <w:sz w:val="20"/>
          <w:szCs w:val="20"/>
        </w:rPr>
      </w:pPr>
      <w:r w:rsidRPr="007F3D2B">
        <w:rPr>
          <w:rFonts w:ascii="Arial" w:hAnsi="Arial" w:cs="Arial"/>
          <w:sz w:val="20"/>
          <w:szCs w:val="20"/>
        </w:rPr>
        <w:t>Mgr. Markéta Adámková, Odbor práva veřejných zakázek a koncesí</w:t>
      </w:r>
    </w:p>
    <w:p w:rsidR="00192D84" w:rsidRPr="007F3D2B" w:rsidRDefault="00192D84" w:rsidP="007F3D2B">
      <w:pPr>
        <w:spacing w:before="120" w:line="276" w:lineRule="auto"/>
        <w:jc w:val="both"/>
        <w:rPr>
          <w:rFonts w:ascii="Arial" w:hAnsi="Arial" w:cs="Arial"/>
          <w:sz w:val="20"/>
          <w:szCs w:val="20"/>
        </w:rPr>
      </w:pPr>
      <w:r w:rsidRPr="007F3D2B">
        <w:rPr>
          <w:rFonts w:ascii="Arial" w:hAnsi="Arial" w:cs="Arial"/>
          <w:sz w:val="20"/>
          <w:szCs w:val="20"/>
        </w:rPr>
        <w:t xml:space="preserve">Email: </w:t>
      </w:r>
      <w:r w:rsidR="007A6B6F" w:rsidRPr="007F3D2B">
        <w:rPr>
          <w:rFonts w:ascii="Arial" w:hAnsi="Arial" w:cs="Arial"/>
          <w:sz w:val="20"/>
          <w:szCs w:val="20"/>
        </w:rPr>
        <w:t>marketa.adamkova@mmr.cz</w:t>
      </w:r>
    </w:p>
    <w:p w:rsidR="00192D84" w:rsidRPr="007F3D2B" w:rsidRDefault="00192D84" w:rsidP="007F3D2B">
      <w:pPr>
        <w:spacing w:before="120" w:line="276" w:lineRule="auto"/>
        <w:jc w:val="both"/>
        <w:rPr>
          <w:rFonts w:ascii="Arial" w:hAnsi="Arial" w:cs="Arial"/>
          <w:sz w:val="20"/>
          <w:szCs w:val="20"/>
        </w:rPr>
      </w:pPr>
      <w:r w:rsidRPr="007F3D2B">
        <w:rPr>
          <w:rFonts w:ascii="Arial" w:hAnsi="Arial" w:cs="Arial"/>
          <w:sz w:val="20"/>
          <w:szCs w:val="20"/>
        </w:rPr>
        <w:t>Tel: +420 234 154 025</w:t>
      </w:r>
    </w:p>
    <w:sectPr w:rsidR="00192D84" w:rsidRPr="007F3D2B" w:rsidSect="00D3604D">
      <w:headerReference w:type="default" r:id="rId13"/>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7D2" w:rsidRDefault="000137D2" w:rsidP="00711B88">
      <w:r>
        <w:separator/>
      </w:r>
    </w:p>
  </w:endnote>
  <w:endnote w:type="continuationSeparator" w:id="0">
    <w:p w:rsidR="000137D2" w:rsidRDefault="000137D2" w:rsidP="0071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782769"/>
      <w:docPartObj>
        <w:docPartGallery w:val="Page Numbers (Bottom of Page)"/>
        <w:docPartUnique/>
      </w:docPartObj>
    </w:sdtPr>
    <w:sdtEndPr/>
    <w:sdtContent>
      <w:p w:rsidR="00E11375" w:rsidRDefault="00095234">
        <w:pPr>
          <w:pStyle w:val="Zpat"/>
          <w:jc w:val="center"/>
        </w:pPr>
        <w:r>
          <w:fldChar w:fldCharType="begin"/>
        </w:r>
        <w:r>
          <w:instrText>PAGE   \* MERGEFORMAT</w:instrText>
        </w:r>
        <w:r>
          <w:fldChar w:fldCharType="separate"/>
        </w:r>
        <w:r w:rsidR="00FE12E3">
          <w:rPr>
            <w:noProof/>
          </w:rPr>
          <w:t>1</w:t>
        </w:r>
        <w:r>
          <w:rPr>
            <w:noProof/>
          </w:rPr>
          <w:fldChar w:fldCharType="end"/>
        </w:r>
      </w:p>
    </w:sdtContent>
  </w:sdt>
  <w:p w:rsidR="00E11375" w:rsidRDefault="00E11375" w:rsidP="008D64A9">
    <w:pPr>
      <w:pStyle w:val="Zpat"/>
      <w:tabs>
        <w:tab w:val="clear" w:pos="4536"/>
        <w:tab w:val="clear" w:pos="9072"/>
        <w:tab w:val="left" w:pos="32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7D2" w:rsidRDefault="000137D2" w:rsidP="00711B88">
      <w:r>
        <w:separator/>
      </w:r>
    </w:p>
  </w:footnote>
  <w:footnote w:type="continuationSeparator" w:id="0">
    <w:p w:rsidR="000137D2" w:rsidRDefault="000137D2" w:rsidP="00711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75" w:rsidRDefault="00E11375">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27D1"/>
    <w:multiLevelType w:val="hybridMultilevel"/>
    <w:tmpl w:val="F3E6877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18F34C4F"/>
    <w:multiLevelType w:val="hybridMultilevel"/>
    <w:tmpl w:val="246EE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E47C49"/>
    <w:multiLevelType w:val="hybridMultilevel"/>
    <w:tmpl w:val="F3E6877E"/>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238C6687"/>
    <w:multiLevelType w:val="hybridMultilevel"/>
    <w:tmpl w:val="6F800882"/>
    <w:lvl w:ilvl="0" w:tplc="8E8AD83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355B0C"/>
    <w:multiLevelType w:val="hybridMultilevel"/>
    <w:tmpl w:val="F3106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D0D7EAB"/>
    <w:multiLevelType w:val="hybridMultilevel"/>
    <w:tmpl w:val="E0DE25C4"/>
    <w:lvl w:ilvl="0" w:tplc="04050003">
      <w:start w:val="1"/>
      <w:numFmt w:val="bullet"/>
      <w:lvlText w:val="o"/>
      <w:lvlJc w:val="left"/>
      <w:pPr>
        <w:tabs>
          <w:tab w:val="num" w:pos="1417"/>
        </w:tabs>
        <w:ind w:left="1417" w:hanging="360"/>
      </w:pPr>
      <w:rPr>
        <w:rFonts w:ascii="Courier New" w:hAnsi="Courier New" w:cs="Courier New" w:hint="default"/>
      </w:rPr>
    </w:lvl>
    <w:lvl w:ilvl="1" w:tplc="04050003">
      <w:start w:val="1"/>
      <w:numFmt w:val="bullet"/>
      <w:lvlText w:val="o"/>
      <w:lvlJc w:val="left"/>
      <w:pPr>
        <w:tabs>
          <w:tab w:val="num" w:pos="2137"/>
        </w:tabs>
        <w:ind w:left="2137" w:hanging="360"/>
      </w:pPr>
      <w:rPr>
        <w:rFonts w:ascii="Courier New" w:hAnsi="Courier New" w:cs="Courier New" w:hint="default"/>
      </w:rPr>
    </w:lvl>
    <w:lvl w:ilvl="2" w:tplc="04050005" w:tentative="1">
      <w:start w:val="1"/>
      <w:numFmt w:val="bullet"/>
      <w:lvlText w:val=""/>
      <w:lvlJc w:val="left"/>
      <w:pPr>
        <w:tabs>
          <w:tab w:val="num" w:pos="2857"/>
        </w:tabs>
        <w:ind w:left="2857" w:hanging="360"/>
      </w:pPr>
      <w:rPr>
        <w:rFonts w:ascii="Wingdings" w:hAnsi="Wingdings" w:cs="Wingdings" w:hint="default"/>
      </w:rPr>
    </w:lvl>
    <w:lvl w:ilvl="3" w:tplc="04050001" w:tentative="1">
      <w:start w:val="1"/>
      <w:numFmt w:val="bullet"/>
      <w:lvlText w:val=""/>
      <w:lvlJc w:val="left"/>
      <w:pPr>
        <w:tabs>
          <w:tab w:val="num" w:pos="3577"/>
        </w:tabs>
        <w:ind w:left="3577" w:hanging="360"/>
      </w:pPr>
      <w:rPr>
        <w:rFonts w:ascii="Symbol" w:hAnsi="Symbol" w:cs="Symbol" w:hint="default"/>
      </w:rPr>
    </w:lvl>
    <w:lvl w:ilvl="4" w:tplc="04050003" w:tentative="1">
      <w:start w:val="1"/>
      <w:numFmt w:val="bullet"/>
      <w:lvlText w:val="o"/>
      <w:lvlJc w:val="left"/>
      <w:pPr>
        <w:tabs>
          <w:tab w:val="num" w:pos="4297"/>
        </w:tabs>
        <w:ind w:left="4297" w:hanging="360"/>
      </w:pPr>
      <w:rPr>
        <w:rFonts w:ascii="Courier New" w:hAnsi="Courier New" w:cs="Courier New" w:hint="default"/>
      </w:rPr>
    </w:lvl>
    <w:lvl w:ilvl="5" w:tplc="04050005" w:tentative="1">
      <w:start w:val="1"/>
      <w:numFmt w:val="bullet"/>
      <w:lvlText w:val=""/>
      <w:lvlJc w:val="left"/>
      <w:pPr>
        <w:tabs>
          <w:tab w:val="num" w:pos="5017"/>
        </w:tabs>
        <w:ind w:left="5017" w:hanging="360"/>
      </w:pPr>
      <w:rPr>
        <w:rFonts w:ascii="Wingdings" w:hAnsi="Wingdings" w:cs="Wingdings" w:hint="default"/>
      </w:rPr>
    </w:lvl>
    <w:lvl w:ilvl="6" w:tplc="04050001" w:tentative="1">
      <w:start w:val="1"/>
      <w:numFmt w:val="bullet"/>
      <w:lvlText w:val=""/>
      <w:lvlJc w:val="left"/>
      <w:pPr>
        <w:tabs>
          <w:tab w:val="num" w:pos="5737"/>
        </w:tabs>
        <w:ind w:left="5737" w:hanging="360"/>
      </w:pPr>
      <w:rPr>
        <w:rFonts w:ascii="Symbol" w:hAnsi="Symbol" w:cs="Symbol" w:hint="default"/>
      </w:rPr>
    </w:lvl>
    <w:lvl w:ilvl="7" w:tplc="04050003" w:tentative="1">
      <w:start w:val="1"/>
      <w:numFmt w:val="bullet"/>
      <w:lvlText w:val="o"/>
      <w:lvlJc w:val="left"/>
      <w:pPr>
        <w:tabs>
          <w:tab w:val="num" w:pos="6457"/>
        </w:tabs>
        <w:ind w:left="6457" w:hanging="360"/>
      </w:pPr>
      <w:rPr>
        <w:rFonts w:ascii="Courier New" w:hAnsi="Courier New" w:cs="Courier New" w:hint="default"/>
      </w:rPr>
    </w:lvl>
    <w:lvl w:ilvl="8" w:tplc="04050005" w:tentative="1">
      <w:start w:val="1"/>
      <w:numFmt w:val="bullet"/>
      <w:lvlText w:val=""/>
      <w:lvlJc w:val="left"/>
      <w:pPr>
        <w:tabs>
          <w:tab w:val="num" w:pos="7177"/>
        </w:tabs>
        <w:ind w:left="7177" w:hanging="360"/>
      </w:pPr>
      <w:rPr>
        <w:rFonts w:ascii="Wingdings" w:hAnsi="Wingdings" w:cs="Wingdings" w:hint="default"/>
      </w:rPr>
    </w:lvl>
  </w:abstractNum>
  <w:abstractNum w:abstractNumId="6">
    <w:nsid w:val="30FB419C"/>
    <w:multiLevelType w:val="hybridMultilevel"/>
    <w:tmpl w:val="734CC5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431250"/>
    <w:multiLevelType w:val="singleLevel"/>
    <w:tmpl w:val="0A2C9DDC"/>
    <w:lvl w:ilvl="0">
      <w:start w:val="1"/>
      <w:numFmt w:val="lowerLetter"/>
      <w:lvlText w:val="%1."/>
      <w:lvlJc w:val="left"/>
      <w:pPr>
        <w:tabs>
          <w:tab w:val="num" w:pos="360"/>
        </w:tabs>
        <w:ind w:left="360" w:hanging="360"/>
      </w:pPr>
    </w:lvl>
  </w:abstractNum>
  <w:abstractNum w:abstractNumId="8">
    <w:nsid w:val="33556FD4"/>
    <w:multiLevelType w:val="hybridMultilevel"/>
    <w:tmpl w:val="89C4C4A4"/>
    <w:lvl w:ilvl="0" w:tplc="87AA1344">
      <w:start w:val="1"/>
      <w:numFmt w:val="decimal"/>
      <w:lvlText w:val="%1."/>
      <w:lvlJc w:val="left"/>
      <w:pPr>
        <w:ind w:left="720" w:hanging="360"/>
      </w:pPr>
      <w:rPr>
        <w:rFonts w:hint="default"/>
      </w:rPr>
    </w:lvl>
    <w:lvl w:ilvl="1" w:tplc="6DB2C450">
      <w:start w:val="1"/>
      <w:numFmt w:val="decimal"/>
      <w:lvlText w:val="%2."/>
      <w:lvlJc w:val="left"/>
      <w:pPr>
        <w:ind w:left="1440" w:hanging="360"/>
      </w:pPr>
      <w:rPr>
        <w:b/>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63122E6"/>
    <w:multiLevelType w:val="hybridMultilevel"/>
    <w:tmpl w:val="F3E6877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5988725E"/>
    <w:multiLevelType w:val="hybridMultilevel"/>
    <w:tmpl w:val="E2E88FB4"/>
    <w:lvl w:ilvl="0" w:tplc="A240E33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BFB7F94"/>
    <w:multiLevelType w:val="hybridMultilevel"/>
    <w:tmpl w:val="31B66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64C3DA7"/>
    <w:multiLevelType w:val="hybridMultilevel"/>
    <w:tmpl w:val="02D2B2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E0175A2"/>
    <w:multiLevelType w:val="multilevel"/>
    <w:tmpl w:val="2D1615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1A06002"/>
    <w:multiLevelType w:val="hybridMultilevel"/>
    <w:tmpl w:val="F12E256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75411286"/>
    <w:multiLevelType w:val="hybridMultilevel"/>
    <w:tmpl w:val="B4D49FE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9690F8F"/>
    <w:multiLevelType w:val="hybridMultilevel"/>
    <w:tmpl w:val="A60CA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A026A20"/>
    <w:multiLevelType w:val="hybridMultilevel"/>
    <w:tmpl w:val="2DD48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C9B1EF5"/>
    <w:multiLevelType w:val="hybridMultilevel"/>
    <w:tmpl w:val="A8486930"/>
    <w:lvl w:ilvl="0" w:tplc="89D6465C">
      <w:numFmt w:val="bullet"/>
      <w:lvlText w:val="-"/>
      <w:lvlJc w:val="left"/>
      <w:pPr>
        <w:ind w:left="420" w:hanging="360"/>
      </w:pPr>
      <w:rPr>
        <w:rFonts w:ascii="Calibri" w:eastAsia="Times New Roman" w:hAnsi="Calibri"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nsid w:val="7EA26BA4"/>
    <w:multiLevelType w:val="hybridMultilevel"/>
    <w:tmpl w:val="5C4C46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7"/>
  </w:num>
  <w:num w:numId="3">
    <w:abstractNumId w:val="4"/>
  </w:num>
  <w:num w:numId="4">
    <w:abstractNumId w:val="1"/>
  </w:num>
  <w:num w:numId="5">
    <w:abstractNumId w:val="16"/>
  </w:num>
  <w:num w:numId="6">
    <w:abstractNumId w:val="11"/>
  </w:num>
  <w:num w:numId="7">
    <w:abstractNumId w:val="6"/>
  </w:num>
  <w:num w:numId="8">
    <w:abstractNumId w:val="12"/>
  </w:num>
  <w:num w:numId="9">
    <w:abstractNumId w:val="8"/>
  </w:num>
  <w:num w:numId="10">
    <w:abstractNumId w:val="19"/>
  </w:num>
  <w:num w:numId="11">
    <w:abstractNumId w:val="13"/>
  </w:num>
  <w:num w:numId="12">
    <w:abstractNumId w:val="5"/>
  </w:num>
  <w:num w:numId="13">
    <w:abstractNumId w:val="18"/>
  </w:num>
  <w:num w:numId="14">
    <w:abstractNumId w:val="14"/>
  </w:num>
  <w:num w:numId="15">
    <w:abstractNumId w:val="15"/>
  </w:num>
  <w:num w:numId="16">
    <w:abstractNumId w:val="9"/>
  </w:num>
  <w:num w:numId="17">
    <w:abstractNumId w:val="0"/>
  </w:num>
  <w:num w:numId="18">
    <w:abstractNumId w:val="2"/>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A3"/>
    <w:rsid w:val="0000006D"/>
    <w:rsid w:val="0000155E"/>
    <w:rsid w:val="000019FB"/>
    <w:rsid w:val="00003909"/>
    <w:rsid w:val="000059F7"/>
    <w:rsid w:val="0001042F"/>
    <w:rsid w:val="00013208"/>
    <w:rsid w:val="000137D2"/>
    <w:rsid w:val="00022BF5"/>
    <w:rsid w:val="00037B7C"/>
    <w:rsid w:val="0004666F"/>
    <w:rsid w:val="0005045C"/>
    <w:rsid w:val="00051107"/>
    <w:rsid w:val="00052903"/>
    <w:rsid w:val="00054AC0"/>
    <w:rsid w:val="000562DC"/>
    <w:rsid w:val="00056A71"/>
    <w:rsid w:val="0006444C"/>
    <w:rsid w:val="00066415"/>
    <w:rsid w:val="00070463"/>
    <w:rsid w:val="00075FD4"/>
    <w:rsid w:val="000773DE"/>
    <w:rsid w:val="00081C71"/>
    <w:rsid w:val="00087140"/>
    <w:rsid w:val="00090BAD"/>
    <w:rsid w:val="00095234"/>
    <w:rsid w:val="000977BB"/>
    <w:rsid w:val="000A3ACD"/>
    <w:rsid w:val="000A7A21"/>
    <w:rsid w:val="000B0BDE"/>
    <w:rsid w:val="000B387A"/>
    <w:rsid w:val="000B4D88"/>
    <w:rsid w:val="000C0145"/>
    <w:rsid w:val="000C0162"/>
    <w:rsid w:val="000C03B1"/>
    <w:rsid w:val="000C2739"/>
    <w:rsid w:val="000C4B13"/>
    <w:rsid w:val="000D035F"/>
    <w:rsid w:val="000D2E9A"/>
    <w:rsid w:val="000E43EC"/>
    <w:rsid w:val="000F30CC"/>
    <w:rsid w:val="000F64B4"/>
    <w:rsid w:val="00100317"/>
    <w:rsid w:val="00100E08"/>
    <w:rsid w:val="0010580B"/>
    <w:rsid w:val="001123F4"/>
    <w:rsid w:val="001227DE"/>
    <w:rsid w:val="00126F2D"/>
    <w:rsid w:val="001273C2"/>
    <w:rsid w:val="00131F01"/>
    <w:rsid w:val="0013272C"/>
    <w:rsid w:val="001332F1"/>
    <w:rsid w:val="00133324"/>
    <w:rsid w:val="00135C70"/>
    <w:rsid w:val="00142F62"/>
    <w:rsid w:val="001445F7"/>
    <w:rsid w:val="0014743F"/>
    <w:rsid w:val="00150A52"/>
    <w:rsid w:val="00151C75"/>
    <w:rsid w:val="00155522"/>
    <w:rsid w:val="0016068F"/>
    <w:rsid w:val="0016481B"/>
    <w:rsid w:val="00165605"/>
    <w:rsid w:val="00165CD1"/>
    <w:rsid w:val="00166843"/>
    <w:rsid w:val="00166A08"/>
    <w:rsid w:val="00166D63"/>
    <w:rsid w:val="001730C6"/>
    <w:rsid w:val="0017566B"/>
    <w:rsid w:val="001857E5"/>
    <w:rsid w:val="00186D9D"/>
    <w:rsid w:val="00192D84"/>
    <w:rsid w:val="001936D3"/>
    <w:rsid w:val="0019634A"/>
    <w:rsid w:val="00196A0B"/>
    <w:rsid w:val="00196DE3"/>
    <w:rsid w:val="001978BA"/>
    <w:rsid w:val="001A0A15"/>
    <w:rsid w:val="001A1770"/>
    <w:rsid w:val="001A3E5B"/>
    <w:rsid w:val="001A5EBB"/>
    <w:rsid w:val="001A60CE"/>
    <w:rsid w:val="001B1E38"/>
    <w:rsid w:val="001B23FF"/>
    <w:rsid w:val="001B3CBE"/>
    <w:rsid w:val="001B7AE5"/>
    <w:rsid w:val="001C1E14"/>
    <w:rsid w:val="001C766B"/>
    <w:rsid w:val="001D42B9"/>
    <w:rsid w:val="001D5516"/>
    <w:rsid w:val="001E3D02"/>
    <w:rsid w:val="001E6FE6"/>
    <w:rsid w:val="001E7151"/>
    <w:rsid w:val="001F2940"/>
    <w:rsid w:val="00202E55"/>
    <w:rsid w:val="00204497"/>
    <w:rsid w:val="00204D62"/>
    <w:rsid w:val="00206AD1"/>
    <w:rsid w:val="00210176"/>
    <w:rsid w:val="002139EA"/>
    <w:rsid w:val="00213DB0"/>
    <w:rsid w:val="002159E2"/>
    <w:rsid w:val="0021620F"/>
    <w:rsid w:val="002165BE"/>
    <w:rsid w:val="00217851"/>
    <w:rsid w:val="00217D74"/>
    <w:rsid w:val="002210E2"/>
    <w:rsid w:val="0022545C"/>
    <w:rsid w:val="002265E6"/>
    <w:rsid w:val="00227530"/>
    <w:rsid w:val="00227E12"/>
    <w:rsid w:val="00233763"/>
    <w:rsid w:val="00250C3A"/>
    <w:rsid w:val="00250D41"/>
    <w:rsid w:val="0025210F"/>
    <w:rsid w:val="00255482"/>
    <w:rsid w:val="00256F4F"/>
    <w:rsid w:val="00262605"/>
    <w:rsid w:val="00262AD0"/>
    <w:rsid w:val="00264CC9"/>
    <w:rsid w:val="00276AB0"/>
    <w:rsid w:val="002834B3"/>
    <w:rsid w:val="002902EF"/>
    <w:rsid w:val="002904E6"/>
    <w:rsid w:val="00292DF9"/>
    <w:rsid w:val="002940AA"/>
    <w:rsid w:val="002A04BA"/>
    <w:rsid w:val="002A2491"/>
    <w:rsid w:val="002A4068"/>
    <w:rsid w:val="002B0191"/>
    <w:rsid w:val="002B1486"/>
    <w:rsid w:val="002B16EF"/>
    <w:rsid w:val="002B212C"/>
    <w:rsid w:val="002B3947"/>
    <w:rsid w:val="002B7648"/>
    <w:rsid w:val="002C0273"/>
    <w:rsid w:val="002C3FFF"/>
    <w:rsid w:val="002C473E"/>
    <w:rsid w:val="002D0E06"/>
    <w:rsid w:val="002D2DAC"/>
    <w:rsid w:val="002D3A57"/>
    <w:rsid w:val="002D7962"/>
    <w:rsid w:val="002E06DA"/>
    <w:rsid w:val="002E5AC6"/>
    <w:rsid w:val="002F327A"/>
    <w:rsid w:val="003013BE"/>
    <w:rsid w:val="00302223"/>
    <w:rsid w:val="0030431C"/>
    <w:rsid w:val="0030445F"/>
    <w:rsid w:val="00305370"/>
    <w:rsid w:val="0030705D"/>
    <w:rsid w:val="00311153"/>
    <w:rsid w:val="00313C25"/>
    <w:rsid w:val="00314AE0"/>
    <w:rsid w:val="00314E5F"/>
    <w:rsid w:val="0031604A"/>
    <w:rsid w:val="003225F0"/>
    <w:rsid w:val="003226D0"/>
    <w:rsid w:val="003272D0"/>
    <w:rsid w:val="00327814"/>
    <w:rsid w:val="0033068D"/>
    <w:rsid w:val="00333870"/>
    <w:rsid w:val="00334394"/>
    <w:rsid w:val="003345DA"/>
    <w:rsid w:val="00334A8F"/>
    <w:rsid w:val="00335C1E"/>
    <w:rsid w:val="00347104"/>
    <w:rsid w:val="0034779F"/>
    <w:rsid w:val="00356899"/>
    <w:rsid w:val="00356F8D"/>
    <w:rsid w:val="00357854"/>
    <w:rsid w:val="003579E3"/>
    <w:rsid w:val="00364281"/>
    <w:rsid w:val="00366EE1"/>
    <w:rsid w:val="00370BAC"/>
    <w:rsid w:val="00382B02"/>
    <w:rsid w:val="003854F9"/>
    <w:rsid w:val="00385D7A"/>
    <w:rsid w:val="00385F52"/>
    <w:rsid w:val="0039136A"/>
    <w:rsid w:val="0039393E"/>
    <w:rsid w:val="00393ADB"/>
    <w:rsid w:val="003957A3"/>
    <w:rsid w:val="00396A64"/>
    <w:rsid w:val="00397320"/>
    <w:rsid w:val="003A3536"/>
    <w:rsid w:val="003A69B6"/>
    <w:rsid w:val="003A6B75"/>
    <w:rsid w:val="003A6C64"/>
    <w:rsid w:val="003B01B8"/>
    <w:rsid w:val="003B3424"/>
    <w:rsid w:val="003C0AAB"/>
    <w:rsid w:val="003C1BD0"/>
    <w:rsid w:val="003C6AA8"/>
    <w:rsid w:val="003D2EEE"/>
    <w:rsid w:val="003D323B"/>
    <w:rsid w:val="003E5B5D"/>
    <w:rsid w:val="003E5F55"/>
    <w:rsid w:val="003F6EE3"/>
    <w:rsid w:val="00404090"/>
    <w:rsid w:val="004053BD"/>
    <w:rsid w:val="00406444"/>
    <w:rsid w:val="004139F1"/>
    <w:rsid w:val="0041446F"/>
    <w:rsid w:val="00415795"/>
    <w:rsid w:val="0041722D"/>
    <w:rsid w:val="00423263"/>
    <w:rsid w:val="00430A5F"/>
    <w:rsid w:val="004310A0"/>
    <w:rsid w:val="004310E4"/>
    <w:rsid w:val="00432648"/>
    <w:rsid w:val="00433C66"/>
    <w:rsid w:val="004360CF"/>
    <w:rsid w:val="0044099E"/>
    <w:rsid w:val="00442369"/>
    <w:rsid w:val="00442FCC"/>
    <w:rsid w:val="004472C6"/>
    <w:rsid w:val="00452C43"/>
    <w:rsid w:val="00453FE2"/>
    <w:rsid w:val="004571DD"/>
    <w:rsid w:val="00457614"/>
    <w:rsid w:val="00460043"/>
    <w:rsid w:val="00466694"/>
    <w:rsid w:val="00467DB6"/>
    <w:rsid w:val="00472F18"/>
    <w:rsid w:val="00476057"/>
    <w:rsid w:val="00483476"/>
    <w:rsid w:val="00485D93"/>
    <w:rsid w:val="004903BC"/>
    <w:rsid w:val="004A1019"/>
    <w:rsid w:val="004B5F04"/>
    <w:rsid w:val="004C1F96"/>
    <w:rsid w:val="004C305A"/>
    <w:rsid w:val="004D03C7"/>
    <w:rsid w:val="004D0845"/>
    <w:rsid w:val="004D13AA"/>
    <w:rsid w:val="004D1E74"/>
    <w:rsid w:val="004D7FD4"/>
    <w:rsid w:val="004E05BB"/>
    <w:rsid w:val="004E0D3F"/>
    <w:rsid w:val="004E1FD6"/>
    <w:rsid w:val="004E33DB"/>
    <w:rsid w:val="004E5105"/>
    <w:rsid w:val="004F481C"/>
    <w:rsid w:val="00512EBC"/>
    <w:rsid w:val="005167D8"/>
    <w:rsid w:val="00516CD0"/>
    <w:rsid w:val="00526C92"/>
    <w:rsid w:val="00527AC5"/>
    <w:rsid w:val="00527E6C"/>
    <w:rsid w:val="0053223D"/>
    <w:rsid w:val="005412ED"/>
    <w:rsid w:val="0054619D"/>
    <w:rsid w:val="00553A02"/>
    <w:rsid w:val="00557FB4"/>
    <w:rsid w:val="0056431E"/>
    <w:rsid w:val="0056582F"/>
    <w:rsid w:val="00566857"/>
    <w:rsid w:val="00580CED"/>
    <w:rsid w:val="00584448"/>
    <w:rsid w:val="005960AD"/>
    <w:rsid w:val="005A27F7"/>
    <w:rsid w:val="005A38ED"/>
    <w:rsid w:val="005A4FFA"/>
    <w:rsid w:val="005B0DAB"/>
    <w:rsid w:val="005C1766"/>
    <w:rsid w:val="005C7940"/>
    <w:rsid w:val="005D34C1"/>
    <w:rsid w:val="005D6DB2"/>
    <w:rsid w:val="005D7B22"/>
    <w:rsid w:val="005E3102"/>
    <w:rsid w:val="005E68F4"/>
    <w:rsid w:val="005E71A9"/>
    <w:rsid w:val="005E7354"/>
    <w:rsid w:val="005F42CB"/>
    <w:rsid w:val="006007F0"/>
    <w:rsid w:val="00600E83"/>
    <w:rsid w:val="00600FC9"/>
    <w:rsid w:val="00601942"/>
    <w:rsid w:val="006037DC"/>
    <w:rsid w:val="00606097"/>
    <w:rsid w:val="006101F2"/>
    <w:rsid w:val="00620DC7"/>
    <w:rsid w:val="006229A9"/>
    <w:rsid w:val="00625C12"/>
    <w:rsid w:val="0062758E"/>
    <w:rsid w:val="00627668"/>
    <w:rsid w:val="00631C28"/>
    <w:rsid w:val="0063313B"/>
    <w:rsid w:val="00633275"/>
    <w:rsid w:val="006345D9"/>
    <w:rsid w:val="00635ED2"/>
    <w:rsid w:val="00636C1C"/>
    <w:rsid w:val="00637350"/>
    <w:rsid w:val="006405D3"/>
    <w:rsid w:val="00641DFC"/>
    <w:rsid w:val="00642A2C"/>
    <w:rsid w:val="00645F4A"/>
    <w:rsid w:val="00646C2F"/>
    <w:rsid w:val="006538AB"/>
    <w:rsid w:val="006540B2"/>
    <w:rsid w:val="006560F2"/>
    <w:rsid w:val="00657461"/>
    <w:rsid w:val="00661153"/>
    <w:rsid w:val="006619FA"/>
    <w:rsid w:val="00662F66"/>
    <w:rsid w:val="006678C3"/>
    <w:rsid w:val="00671683"/>
    <w:rsid w:val="00674D3C"/>
    <w:rsid w:val="0067601B"/>
    <w:rsid w:val="00676F8B"/>
    <w:rsid w:val="00680B72"/>
    <w:rsid w:val="006810FB"/>
    <w:rsid w:val="006849D1"/>
    <w:rsid w:val="00687331"/>
    <w:rsid w:val="006939C4"/>
    <w:rsid w:val="0069622E"/>
    <w:rsid w:val="00697150"/>
    <w:rsid w:val="006A2F41"/>
    <w:rsid w:val="006A34BA"/>
    <w:rsid w:val="006A73CC"/>
    <w:rsid w:val="006B11B6"/>
    <w:rsid w:val="006B31C3"/>
    <w:rsid w:val="006B48C6"/>
    <w:rsid w:val="006D1FB7"/>
    <w:rsid w:val="006D519B"/>
    <w:rsid w:val="006E1214"/>
    <w:rsid w:val="006E1791"/>
    <w:rsid w:val="006E41FE"/>
    <w:rsid w:val="006E6486"/>
    <w:rsid w:val="006E79DB"/>
    <w:rsid w:val="006F1124"/>
    <w:rsid w:val="006F197B"/>
    <w:rsid w:val="006F20D7"/>
    <w:rsid w:val="006F2129"/>
    <w:rsid w:val="006F33C4"/>
    <w:rsid w:val="006F73A3"/>
    <w:rsid w:val="00700C70"/>
    <w:rsid w:val="00702E6B"/>
    <w:rsid w:val="007107F2"/>
    <w:rsid w:val="00711B88"/>
    <w:rsid w:val="00711C5D"/>
    <w:rsid w:val="00716307"/>
    <w:rsid w:val="00724813"/>
    <w:rsid w:val="0073029C"/>
    <w:rsid w:val="00730EDB"/>
    <w:rsid w:val="00731A7E"/>
    <w:rsid w:val="00734F25"/>
    <w:rsid w:val="0074034B"/>
    <w:rsid w:val="00740462"/>
    <w:rsid w:val="0074256B"/>
    <w:rsid w:val="00745435"/>
    <w:rsid w:val="007508C4"/>
    <w:rsid w:val="00750B86"/>
    <w:rsid w:val="00755547"/>
    <w:rsid w:val="007564B6"/>
    <w:rsid w:val="007567CD"/>
    <w:rsid w:val="00760FCD"/>
    <w:rsid w:val="00763EF2"/>
    <w:rsid w:val="0076510D"/>
    <w:rsid w:val="0077080D"/>
    <w:rsid w:val="00771FDF"/>
    <w:rsid w:val="00773439"/>
    <w:rsid w:val="00776A11"/>
    <w:rsid w:val="007809E2"/>
    <w:rsid w:val="007850EF"/>
    <w:rsid w:val="00785E2E"/>
    <w:rsid w:val="0078754F"/>
    <w:rsid w:val="007908F7"/>
    <w:rsid w:val="00791F3B"/>
    <w:rsid w:val="007A2141"/>
    <w:rsid w:val="007A37A3"/>
    <w:rsid w:val="007A47A0"/>
    <w:rsid w:val="007A5C65"/>
    <w:rsid w:val="007A6B6F"/>
    <w:rsid w:val="007A6DBB"/>
    <w:rsid w:val="007B08D5"/>
    <w:rsid w:val="007B1C6E"/>
    <w:rsid w:val="007B436D"/>
    <w:rsid w:val="007B4A4B"/>
    <w:rsid w:val="007C04E0"/>
    <w:rsid w:val="007C07A5"/>
    <w:rsid w:val="007C1A8B"/>
    <w:rsid w:val="007C2425"/>
    <w:rsid w:val="007C5728"/>
    <w:rsid w:val="007C59DB"/>
    <w:rsid w:val="007C5CBC"/>
    <w:rsid w:val="007C620E"/>
    <w:rsid w:val="007C6E9E"/>
    <w:rsid w:val="007D4FE4"/>
    <w:rsid w:val="007E07E6"/>
    <w:rsid w:val="007E3873"/>
    <w:rsid w:val="007E509D"/>
    <w:rsid w:val="007F1B6C"/>
    <w:rsid w:val="007F3D2B"/>
    <w:rsid w:val="007F6D85"/>
    <w:rsid w:val="007F7704"/>
    <w:rsid w:val="00800BBD"/>
    <w:rsid w:val="0080141B"/>
    <w:rsid w:val="00804D54"/>
    <w:rsid w:val="00805C69"/>
    <w:rsid w:val="0081585B"/>
    <w:rsid w:val="00816276"/>
    <w:rsid w:val="0082409C"/>
    <w:rsid w:val="00824171"/>
    <w:rsid w:val="00831401"/>
    <w:rsid w:val="00834043"/>
    <w:rsid w:val="008356DE"/>
    <w:rsid w:val="00837381"/>
    <w:rsid w:val="00840C1E"/>
    <w:rsid w:val="00842B3C"/>
    <w:rsid w:val="008561EB"/>
    <w:rsid w:val="008603F9"/>
    <w:rsid w:val="00863101"/>
    <w:rsid w:val="0086797A"/>
    <w:rsid w:val="00870DAE"/>
    <w:rsid w:val="0087442C"/>
    <w:rsid w:val="008749B1"/>
    <w:rsid w:val="00876D1C"/>
    <w:rsid w:val="0087770A"/>
    <w:rsid w:val="00884D4D"/>
    <w:rsid w:val="00885BB5"/>
    <w:rsid w:val="00895645"/>
    <w:rsid w:val="008A1D39"/>
    <w:rsid w:val="008A61B6"/>
    <w:rsid w:val="008B684F"/>
    <w:rsid w:val="008C3BDD"/>
    <w:rsid w:val="008C41F2"/>
    <w:rsid w:val="008C463E"/>
    <w:rsid w:val="008C62E7"/>
    <w:rsid w:val="008C6CE7"/>
    <w:rsid w:val="008D23EA"/>
    <w:rsid w:val="008D3DDB"/>
    <w:rsid w:val="008D42E8"/>
    <w:rsid w:val="008D4700"/>
    <w:rsid w:val="008D64A9"/>
    <w:rsid w:val="008E0CA5"/>
    <w:rsid w:val="008E4441"/>
    <w:rsid w:val="008E4B8A"/>
    <w:rsid w:val="008E6983"/>
    <w:rsid w:val="008F081D"/>
    <w:rsid w:val="008F246F"/>
    <w:rsid w:val="008F349C"/>
    <w:rsid w:val="008F3B1E"/>
    <w:rsid w:val="008F6521"/>
    <w:rsid w:val="009019BE"/>
    <w:rsid w:val="00901F49"/>
    <w:rsid w:val="00904656"/>
    <w:rsid w:val="00911E45"/>
    <w:rsid w:val="00920049"/>
    <w:rsid w:val="0092648F"/>
    <w:rsid w:val="00930996"/>
    <w:rsid w:val="009329C3"/>
    <w:rsid w:val="00934943"/>
    <w:rsid w:val="00943BA7"/>
    <w:rsid w:val="00944521"/>
    <w:rsid w:val="0095120F"/>
    <w:rsid w:val="00952291"/>
    <w:rsid w:val="00953136"/>
    <w:rsid w:val="00953237"/>
    <w:rsid w:val="009533F5"/>
    <w:rsid w:val="00957801"/>
    <w:rsid w:val="00962767"/>
    <w:rsid w:val="00964AED"/>
    <w:rsid w:val="00964CAA"/>
    <w:rsid w:val="00965843"/>
    <w:rsid w:val="009710FD"/>
    <w:rsid w:val="00974D6B"/>
    <w:rsid w:val="009752EF"/>
    <w:rsid w:val="00981CF9"/>
    <w:rsid w:val="0098359F"/>
    <w:rsid w:val="00983E53"/>
    <w:rsid w:val="0098639F"/>
    <w:rsid w:val="00986F00"/>
    <w:rsid w:val="009913A2"/>
    <w:rsid w:val="00991D75"/>
    <w:rsid w:val="00992916"/>
    <w:rsid w:val="00994C8D"/>
    <w:rsid w:val="00995EC5"/>
    <w:rsid w:val="009A31A6"/>
    <w:rsid w:val="009A34FF"/>
    <w:rsid w:val="009A3D40"/>
    <w:rsid w:val="009B4BDA"/>
    <w:rsid w:val="009B6DB5"/>
    <w:rsid w:val="009C088C"/>
    <w:rsid w:val="009C524C"/>
    <w:rsid w:val="009C6BEB"/>
    <w:rsid w:val="009C76AE"/>
    <w:rsid w:val="009D189E"/>
    <w:rsid w:val="009D4540"/>
    <w:rsid w:val="009E2B3B"/>
    <w:rsid w:val="009E4470"/>
    <w:rsid w:val="009E4DF4"/>
    <w:rsid w:val="009E51DF"/>
    <w:rsid w:val="009E6DA9"/>
    <w:rsid w:val="009E7C31"/>
    <w:rsid w:val="009F5C80"/>
    <w:rsid w:val="009F6C78"/>
    <w:rsid w:val="00A12AA3"/>
    <w:rsid w:val="00A145C7"/>
    <w:rsid w:val="00A17624"/>
    <w:rsid w:val="00A20099"/>
    <w:rsid w:val="00A215F4"/>
    <w:rsid w:val="00A26F8F"/>
    <w:rsid w:val="00A31A28"/>
    <w:rsid w:val="00A3561D"/>
    <w:rsid w:val="00A36CDA"/>
    <w:rsid w:val="00A42D50"/>
    <w:rsid w:val="00A43D67"/>
    <w:rsid w:val="00A50276"/>
    <w:rsid w:val="00A52E70"/>
    <w:rsid w:val="00A62EDD"/>
    <w:rsid w:val="00A6313C"/>
    <w:rsid w:val="00A63937"/>
    <w:rsid w:val="00A65974"/>
    <w:rsid w:val="00A659F4"/>
    <w:rsid w:val="00A67CBE"/>
    <w:rsid w:val="00A703A2"/>
    <w:rsid w:val="00A76F89"/>
    <w:rsid w:val="00A7714C"/>
    <w:rsid w:val="00A83E7B"/>
    <w:rsid w:val="00A91BBA"/>
    <w:rsid w:val="00A93EC2"/>
    <w:rsid w:val="00A9565F"/>
    <w:rsid w:val="00AA00DC"/>
    <w:rsid w:val="00AA1A68"/>
    <w:rsid w:val="00AA2680"/>
    <w:rsid w:val="00AA62CF"/>
    <w:rsid w:val="00AA737C"/>
    <w:rsid w:val="00AB19EC"/>
    <w:rsid w:val="00AB1D44"/>
    <w:rsid w:val="00AB446B"/>
    <w:rsid w:val="00AB5404"/>
    <w:rsid w:val="00AB6E71"/>
    <w:rsid w:val="00AD165D"/>
    <w:rsid w:val="00AE2EE1"/>
    <w:rsid w:val="00AE40E6"/>
    <w:rsid w:val="00AE6E6C"/>
    <w:rsid w:val="00AF2083"/>
    <w:rsid w:val="00AF29C2"/>
    <w:rsid w:val="00AF5EEA"/>
    <w:rsid w:val="00AF7CEF"/>
    <w:rsid w:val="00B10DAA"/>
    <w:rsid w:val="00B13E29"/>
    <w:rsid w:val="00B233F5"/>
    <w:rsid w:val="00B246FB"/>
    <w:rsid w:val="00B255C3"/>
    <w:rsid w:val="00B42552"/>
    <w:rsid w:val="00B452B6"/>
    <w:rsid w:val="00B4534A"/>
    <w:rsid w:val="00B525DE"/>
    <w:rsid w:val="00B52B5B"/>
    <w:rsid w:val="00B54B9E"/>
    <w:rsid w:val="00B60174"/>
    <w:rsid w:val="00B60D1C"/>
    <w:rsid w:val="00B62C91"/>
    <w:rsid w:val="00B65664"/>
    <w:rsid w:val="00B663F9"/>
    <w:rsid w:val="00B7678A"/>
    <w:rsid w:val="00B807A5"/>
    <w:rsid w:val="00B80926"/>
    <w:rsid w:val="00B822D7"/>
    <w:rsid w:val="00B84C4B"/>
    <w:rsid w:val="00B86EAD"/>
    <w:rsid w:val="00B8773B"/>
    <w:rsid w:val="00B9090A"/>
    <w:rsid w:val="00B913AF"/>
    <w:rsid w:val="00B96DC6"/>
    <w:rsid w:val="00B97A1C"/>
    <w:rsid w:val="00BA0CA0"/>
    <w:rsid w:val="00BA3DE3"/>
    <w:rsid w:val="00BA5C4E"/>
    <w:rsid w:val="00BA6EAF"/>
    <w:rsid w:val="00BA702D"/>
    <w:rsid w:val="00BB2277"/>
    <w:rsid w:val="00BB43C4"/>
    <w:rsid w:val="00BB7B2E"/>
    <w:rsid w:val="00BC1E7B"/>
    <w:rsid w:val="00BC4BBB"/>
    <w:rsid w:val="00BE1ABC"/>
    <w:rsid w:val="00BE1B36"/>
    <w:rsid w:val="00BE39BE"/>
    <w:rsid w:val="00BE4981"/>
    <w:rsid w:val="00BE5F23"/>
    <w:rsid w:val="00BF140C"/>
    <w:rsid w:val="00BF1C57"/>
    <w:rsid w:val="00BF28B6"/>
    <w:rsid w:val="00BF79DD"/>
    <w:rsid w:val="00C00186"/>
    <w:rsid w:val="00C04BAA"/>
    <w:rsid w:val="00C04CFC"/>
    <w:rsid w:val="00C07897"/>
    <w:rsid w:val="00C11190"/>
    <w:rsid w:val="00C165FA"/>
    <w:rsid w:val="00C174CD"/>
    <w:rsid w:val="00C3051C"/>
    <w:rsid w:val="00C32922"/>
    <w:rsid w:val="00C34257"/>
    <w:rsid w:val="00C366C6"/>
    <w:rsid w:val="00C36EE9"/>
    <w:rsid w:val="00C432B5"/>
    <w:rsid w:val="00C45E29"/>
    <w:rsid w:val="00C55BA4"/>
    <w:rsid w:val="00C576DF"/>
    <w:rsid w:val="00C60352"/>
    <w:rsid w:val="00C6121F"/>
    <w:rsid w:val="00C6490C"/>
    <w:rsid w:val="00C7027D"/>
    <w:rsid w:val="00C803CF"/>
    <w:rsid w:val="00C85E40"/>
    <w:rsid w:val="00C904D3"/>
    <w:rsid w:val="00C91342"/>
    <w:rsid w:val="00C927D7"/>
    <w:rsid w:val="00CA2097"/>
    <w:rsid w:val="00CB2700"/>
    <w:rsid w:val="00CB4BAB"/>
    <w:rsid w:val="00CB6ECB"/>
    <w:rsid w:val="00CB779E"/>
    <w:rsid w:val="00CC255A"/>
    <w:rsid w:val="00CC32DB"/>
    <w:rsid w:val="00CC38D0"/>
    <w:rsid w:val="00CC58F5"/>
    <w:rsid w:val="00CC6E96"/>
    <w:rsid w:val="00CD2895"/>
    <w:rsid w:val="00CD2A09"/>
    <w:rsid w:val="00CD566B"/>
    <w:rsid w:val="00CD6987"/>
    <w:rsid w:val="00CF74AD"/>
    <w:rsid w:val="00CF7730"/>
    <w:rsid w:val="00D00572"/>
    <w:rsid w:val="00D031F4"/>
    <w:rsid w:val="00D05CCE"/>
    <w:rsid w:val="00D07438"/>
    <w:rsid w:val="00D10CCE"/>
    <w:rsid w:val="00D11A64"/>
    <w:rsid w:val="00D12A08"/>
    <w:rsid w:val="00D152AA"/>
    <w:rsid w:val="00D1684F"/>
    <w:rsid w:val="00D17368"/>
    <w:rsid w:val="00D214D4"/>
    <w:rsid w:val="00D22998"/>
    <w:rsid w:val="00D23186"/>
    <w:rsid w:val="00D240FB"/>
    <w:rsid w:val="00D261A5"/>
    <w:rsid w:val="00D308EB"/>
    <w:rsid w:val="00D30EA2"/>
    <w:rsid w:val="00D3604D"/>
    <w:rsid w:val="00D37C3F"/>
    <w:rsid w:val="00D46C03"/>
    <w:rsid w:val="00D57A14"/>
    <w:rsid w:val="00D645BD"/>
    <w:rsid w:val="00D806F1"/>
    <w:rsid w:val="00D852E5"/>
    <w:rsid w:val="00D85921"/>
    <w:rsid w:val="00D864A4"/>
    <w:rsid w:val="00DA0189"/>
    <w:rsid w:val="00DA7843"/>
    <w:rsid w:val="00DB1259"/>
    <w:rsid w:val="00DB2D79"/>
    <w:rsid w:val="00DB32F6"/>
    <w:rsid w:val="00DB76E1"/>
    <w:rsid w:val="00DC23B3"/>
    <w:rsid w:val="00DC34C0"/>
    <w:rsid w:val="00DC5835"/>
    <w:rsid w:val="00DD38E3"/>
    <w:rsid w:val="00DD3D78"/>
    <w:rsid w:val="00DD7E9B"/>
    <w:rsid w:val="00DE20D3"/>
    <w:rsid w:val="00DE2E7B"/>
    <w:rsid w:val="00DE58E8"/>
    <w:rsid w:val="00DE62BE"/>
    <w:rsid w:val="00DE783B"/>
    <w:rsid w:val="00DE79FE"/>
    <w:rsid w:val="00DF1861"/>
    <w:rsid w:val="00DF38E0"/>
    <w:rsid w:val="00DF71E5"/>
    <w:rsid w:val="00DF7629"/>
    <w:rsid w:val="00DF7DD6"/>
    <w:rsid w:val="00E008DC"/>
    <w:rsid w:val="00E036A3"/>
    <w:rsid w:val="00E039E3"/>
    <w:rsid w:val="00E05809"/>
    <w:rsid w:val="00E06298"/>
    <w:rsid w:val="00E06F94"/>
    <w:rsid w:val="00E07637"/>
    <w:rsid w:val="00E10928"/>
    <w:rsid w:val="00E11375"/>
    <w:rsid w:val="00E16EE9"/>
    <w:rsid w:val="00E214FF"/>
    <w:rsid w:val="00E23141"/>
    <w:rsid w:val="00E241BC"/>
    <w:rsid w:val="00E25288"/>
    <w:rsid w:val="00E276E8"/>
    <w:rsid w:val="00E32CB7"/>
    <w:rsid w:val="00E3669F"/>
    <w:rsid w:val="00E611E8"/>
    <w:rsid w:val="00E63060"/>
    <w:rsid w:val="00E63D84"/>
    <w:rsid w:val="00E63F98"/>
    <w:rsid w:val="00E70C50"/>
    <w:rsid w:val="00E745C9"/>
    <w:rsid w:val="00E76A61"/>
    <w:rsid w:val="00E81BE9"/>
    <w:rsid w:val="00E82D68"/>
    <w:rsid w:val="00E8676D"/>
    <w:rsid w:val="00E94AC2"/>
    <w:rsid w:val="00E94D00"/>
    <w:rsid w:val="00E95901"/>
    <w:rsid w:val="00E96305"/>
    <w:rsid w:val="00E96D81"/>
    <w:rsid w:val="00EA1C2F"/>
    <w:rsid w:val="00EA6B7C"/>
    <w:rsid w:val="00EA6B9D"/>
    <w:rsid w:val="00EB1A2E"/>
    <w:rsid w:val="00EB3121"/>
    <w:rsid w:val="00EB35F2"/>
    <w:rsid w:val="00EB5D7A"/>
    <w:rsid w:val="00EB6D62"/>
    <w:rsid w:val="00EC1652"/>
    <w:rsid w:val="00ED227B"/>
    <w:rsid w:val="00ED3377"/>
    <w:rsid w:val="00ED3782"/>
    <w:rsid w:val="00ED5D15"/>
    <w:rsid w:val="00ED5D69"/>
    <w:rsid w:val="00ED6C77"/>
    <w:rsid w:val="00ED6D06"/>
    <w:rsid w:val="00EF2D40"/>
    <w:rsid w:val="00F0585A"/>
    <w:rsid w:val="00F060B8"/>
    <w:rsid w:val="00F06E14"/>
    <w:rsid w:val="00F07E5C"/>
    <w:rsid w:val="00F1056F"/>
    <w:rsid w:val="00F11D70"/>
    <w:rsid w:val="00F11E6F"/>
    <w:rsid w:val="00F138EA"/>
    <w:rsid w:val="00F21F75"/>
    <w:rsid w:val="00F2298B"/>
    <w:rsid w:val="00F27C41"/>
    <w:rsid w:val="00F32A12"/>
    <w:rsid w:val="00F3636C"/>
    <w:rsid w:val="00F41C2B"/>
    <w:rsid w:val="00F4318F"/>
    <w:rsid w:val="00F43B0D"/>
    <w:rsid w:val="00F4465C"/>
    <w:rsid w:val="00F47286"/>
    <w:rsid w:val="00F51393"/>
    <w:rsid w:val="00F5651B"/>
    <w:rsid w:val="00F600A9"/>
    <w:rsid w:val="00F625FE"/>
    <w:rsid w:val="00F63742"/>
    <w:rsid w:val="00F65D79"/>
    <w:rsid w:val="00F65EB7"/>
    <w:rsid w:val="00F74637"/>
    <w:rsid w:val="00F76890"/>
    <w:rsid w:val="00F8129D"/>
    <w:rsid w:val="00F81B43"/>
    <w:rsid w:val="00F839C3"/>
    <w:rsid w:val="00F84ED0"/>
    <w:rsid w:val="00F96E40"/>
    <w:rsid w:val="00F977C4"/>
    <w:rsid w:val="00FA641D"/>
    <w:rsid w:val="00FB3D24"/>
    <w:rsid w:val="00FB50A1"/>
    <w:rsid w:val="00FC0193"/>
    <w:rsid w:val="00FC042B"/>
    <w:rsid w:val="00FC7BF9"/>
    <w:rsid w:val="00FD0318"/>
    <w:rsid w:val="00FD0F49"/>
    <w:rsid w:val="00FD2DF2"/>
    <w:rsid w:val="00FE09DE"/>
    <w:rsid w:val="00FE12E3"/>
    <w:rsid w:val="00FE7AD8"/>
    <w:rsid w:val="00FF372A"/>
    <w:rsid w:val="00FF4172"/>
    <w:rsid w:val="00FF6E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2A08"/>
    <w:rPr>
      <w:sz w:val="24"/>
      <w:szCs w:val="24"/>
    </w:rPr>
  </w:style>
  <w:style w:type="paragraph" w:styleId="Nadpis2">
    <w:name w:val="heading 2"/>
    <w:basedOn w:val="Normln"/>
    <w:next w:val="Normln"/>
    <w:link w:val="Nadpis2Char"/>
    <w:qFormat/>
    <w:rsid w:val="003957A3"/>
    <w:pPr>
      <w:keepNext/>
      <w:tabs>
        <w:tab w:val="num" w:pos="360"/>
      </w:tabs>
      <w:spacing w:before="240" w:after="240"/>
      <w:ind w:left="360" w:hanging="360"/>
      <w:outlineLvl w:val="1"/>
    </w:pPr>
    <w:rPr>
      <w:rFonts w:ascii="Arial" w:hAnsi="Arial"/>
      <w:b/>
      <w:i/>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957A3"/>
    <w:rPr>
      <w:rFonts w:ascii="Arial" w:hAnsi="Arial"/>
      <w:b/>
      <w:i/>
      <w:sz w:val="32"/>
    </w:rPr>
  </w:style>
  <w:style w:type="paragraph" w:styleId="Zkladntext">
    <w:name w:val="Body Text"/>
    <w:basedOn w:val="Normln"/>
    <w:link w:val="ZkladntextChar1"/>
    <w:uiPriority w:val="99"/>
    <w:rsid w:val="00302223"/>
    <w:pPr>
      <w:spacing w:after="240"/>
    </w:pPr>
  </w:style>
  <w:style w:type="character" w:customStyle="1" w:styleId="ZkladntextChar">
    <w:name w:val="Základní text Char"/>
    <w:basedOn w:val="Standardnpsmoodstavce"/>
    <w:uiPriority w:val="99"/>
    <w:semiHidden/>
    <w:rsid w:val="00302223"/>
    <w:rPr>
      <w:sz w:val="24"/>
      <w:szCs w:val="24"/>
    </w:rPr>
  </w:style>
  <w:style w:type="character" w:customStyle="1" w:styleId="ZkladntextChar1">
    <w:name w:val="Základní text Char1"/>
    <w:basedOn w:val="Standardnpsmoodstavce"/>
    <w:link w:val="Zkladntext"/>
    <w:uiPriority w:val="99"/>
    <w:rsid w:val="00302223"/>
    <w:rPr>
      <w:sz w:val="24"/>
      <w:szCs w:val="24"/>
    </w:rPr>
  </w:style>
  <w:style w:type="paragraph" w:styleId="Normlnweb">
    <w:name w:val="Normal (Web)"/>
    <w:basedOn w:val="Normln"/>
    <w:uiPriority w:val="99"/>
    <w:unhideWhenUsed/>
    <w:rsid w:val="00837381"/>
    <w:pPr>
      <w:spacing w:before="100" w:beforeAutospacing="1" w:after="100" w:afterAutospacing="1"/>
    </w:pPr>
  </w:style>
  <w:style w:type="paragraph" w:styleId="Textbubliny">
    <w:name w:val="Balloon Text"/>
    <w:basedOn w:val="Normln"/>
    <w:link w:val="TextbublinyChar"/>
    <w:uiPriority w:val="99"/>
    <w:semiHidden/>
    <w:unhideWhenUsed/>
    <w:rsid w:val="00DC23B3"/>
    <w:rPr>
      <w:rFonts w:ascii="Tahoma" w:hAnsi="Tahoma" w:cs="Tahoma"/>
      <w:sz w:val="16"/>
      <w:szCs w:val="16"/>
    </w:rPr>
  </w:style>
  <w:style w:type="character" w:customStyle="1" w:styleId="TextbublinyChar">
    <w:name w:val="Text bubliny Char"/>
    <w:basedOn w:val="Standardnpsmoodstavce"/>
    <w:link w:val="Textbubliny"/>
    <w:uiPriority w:val="99"/>
    <w:semiHidden/>
    <w:rsid w:val="00DC23B3"/>
    <w:rPr>
      <w:rFonts w:ascii="Tahoma" w:hAnsi="Tahoma" w:cs="Tahoma"/>
      <w:sz w:val="16"/>
      <w:szCs w:val="16"/>
    </w:rPr>
  </w:style>
  <w:style w:type="character" w:styleId="Odkaznakoment">
    <w:name w:val="annotation reference"/>
    <w:basedOn w:val="Standardnpsmoodstavce"/>
    <w:uiPriority w:val="99"/>
    <w:semiHidden/>
    <w:unhideWhenUsed/>
    <w:rsid w:val="00901F49"/>
    <w:rPr>
      <w:sz w:val="16"/>
      <w:szCs w:val="16"/>
    </w:rPr>
  </w:style>
  <w:style w:type="paragraph" w:styleId="Textkomente">
    <w:name w:val="annotation text"/>
    <w:basedOn w:val="Normln"/>
    <w:link w:val="TextkomenteChar"/>
    <w:uiPriority w:val="99"/>
    <w:semiHidden/>
    <w:unhideWhenUsed/>
    <w:rsid w:val="00901F49"/>
    <w:rPr>
      <w:sz w:val="20"/>
      <w:szCs w:val="20"/>
    </w:rPr>
  </w:style>
  <w:style w:type="character" w:customStyle="1" w:styleId="TextkomenteChar">
    <w:name w:val="Text komentáře Char"/>
    <w:basedOn w:val="Standardnpsmoodstavce"/>
    <w:link w:val="Textkomente"/>
    <w:uiPriority w:val="99"/>
    <w:semiHidden/>
    <w:rsid w:val="00901F49"/>
  </w:style>
  <w:style w:type="paragraph" w:styleId="Pedmtkomente">
    <w:name w:val="annotation subject"/>
    <w:basedOn w:val="Textkomente"/>
    <w:next w:val="Textkomente"/>
    <w:link w:val="PedmtkomenteChar"/>
    <w:uiPriority w:val="99"/>
    <w:semiHidden/>
    <w:unhideWhenUsed/>
    <w:rsid w:val="00901F49"/>
    <w:rPr>
      <w:b/>
      <w:bCs/>
    </w:rPr>
  </w:style>
  <w:style w:type="character" w:customStyle="1" w:styleId="PedmtkomenteChar">
    <w:name w:val="Předmět komentáře Char"/>
    <w:basedOn w:val="TextkomenteChar"/>
    <w:link w:val="Pedmtkomente"/>
    <w:uiPriority w:val="99"/>
    <w:semiHidden/>
    <w:rsid w:val="00901F49"/>
    <w:rPr>
      <w:b/>
      <w:bCs/>
    </w:rPr>
  </w:style>
  <w:style w:type="paragraph" w:styleId="Zhlav">
    <w:name w:val="header"/>
    <w:basedOn w:val="Normln"/>
    <w:link w:val="ZhlavChar"/>
    <w:uiPriority w:val="99"/>
    <w:unhideWhenUsed/>
    <w:rsid w:val="00711B88"/>
    <w:pPr>
      <w:tabs>
        <w:tab w:val="center" w:pos="4536"/>
        <w:tab w:val="right" w:pos="9072"/>
      </w:tabs>
    </w:pPr>
  </w:style>
  <w:style w:type="character" w:customStyle="1" w:styleId="ZhlavChar">
    <w:name w:val="Záhlaví Char"/>
    <w:basedOn w:val="Standardnpsmoodstavce"/>
    <w:link w:val="Zhlav"/>
    <w:uiPriority w:val="99"/>
    <w:rsid w:val="00711B88"/>
    <w:rPr>
      <w:sz w:val="24"/>
      <w:szCs w:val="24"/>
    </w:rPr>
  </w:style>
  <w:style w:type="paragraph" w:styleId="Zpat">
    <w:name w:val="footer"/>
    <w:basedOn w:val="Normln"/>
    <w:link w:val="ZpatChar"/>
    <w:uiPriority w:val="99"/>
    <w:unhideWhenUsed/>
    <w:rsid w:val="00711B88"/>
    <w:pPr>
      <w:tabs>
        <w:tab w:val="center" w:pos="4536"/>
        <w:tab w:val="right" w:pos="9072"/>
      </w:tabs>
    </w:pPr>
  </w:style>
  <w:style w:type="character" w:customStyle="1" w:styleId="ZpatChar">
    <w:name w:val="Zápatí Char"/>
    <w:basedOn w:val="Standardnpsmoodstavce"/>
    <w:link w:val="Zpat"/>
    <w:uiPriority w:val="99"/>
    <w:rsid w:val="00711B88"/>
    <w:rPr>
      <w:sz w:val="24"/>
      <w:szCs w:val="24"/>
    </w:rPr>
  </w:style>
  <w:style w:type="paragraph" w:styleId="Odstavecseseznamem">
    <w:name w:val="List Paragraph"/>
    <w:basedOn w:val="Normln"/>
    <w:uiPriority w:val="34"/>
    <w:qFormat/>
    <w:rsid w:val="009E7C31"/>
    <w:pPr>
      <w:ind w:left="720"/>
      <w:contextualSpacing/>
      <w:jc w:val="both"/>
    </w:pPr>
    <w:rPr>
      <w:rFonts w:ascii="Calibri" w:hAnsi="Calibri"/>
      <w:szCs w:val="20"/>
      <w:lang w:eastAsia="en-US"/>
    </w:rPr>
  </w:style>
  <w:style w:type="paragraph" w:customStyle="1" w:styleId="Opatentext">
    <w:name w:val="Opatření text"/>
    <w:basedOn w:val="Normln"/>
    <w:uiPriority w:val="99"/>
    <w:rsid w:val="006A73CC"/>
    <w:pPr>
      <w:tabs>
        <w:tab w:val="num" w:pos="2520"/>
        <w:tab w:val="num" w:pos="3240"/>
      </w:tabs>
      <w:spacing w:after="120" w:line="360" w:lineRule="auto"/>
      <w:ind w:left="1440" w:firstLine="360"/>
      <w:jc w:val="both"/>
    </w:pPr>
  </w:style>
  <w:style w:type="character" w:styleId="Hypertextovodkaz">
    <w:name w:val="Hyperlink"/>
    <w:basedOn w:val="Standardnpsmoodstavce"/>
    <w:uiPriority w:val="99"/>
    <w:unhideWhenUsed/>
    <w:rsid w:val="008C463E"/>
    <w:rPr>
      <w:color w:val="0000FF"/>
      <w:u w:val="single"/>
    </w:rPr>
  </w:style>
  <w:style w:type="character" w:customStyle="1" w:styleId="apple-converted-space">
    <w:name w:val="apple-converted-space"/>
    <w:basedOn w:val="Standardnpsmoodstavce"/>
    <w:rsid w:val="008C4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2A08"/>
    <w:rPr>
      <w:sz w:val="24"/>
      <w:szCs w:val="24"/>
    </w:rPr>
  </w:style>
  <w:style w:type="paragraph" w:styleId="Nadpis2">
    <w:name w:val="heading 2"/>
    <w:basedOn w:val="Normln"/>
    <w:next w:val="Normln"/>
    <w:link w:val="Nadpis2Char"/>
    <w:qFormat/>
    <w:rsid w:val="003957A3"/>
    <w:pPr>
      <w:keepNext/>
      <w:tabs>
        <w:tab w:val="num" w:pos="360"/>
      </w:tabs>
      <w:spacing w:before="240" w:after="240"/>
      <w:ind w:left="360" w:hanging="360"/>
      <w:outlineLvl w:val="1"/>
    </w:pPr>
    <w:rPr>
      <w:rFonts w:ascii="Arial" w:hAnsi="Arial"/>
      <w:b/>
      <w:i/>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957A3"/>
    <w:rPr>
      <w:rFonts w:ascii="Arial" w:hAnsi="Arial"/>
      <w:b/>
      <w:i/>
      <w:sz w:val="32"/>
    </w:rPr>
  </w:style>
  <w:style w:type="paragraph" w:styleId="Zkladntext">
    <w:name w:val="Body Text"/>
    <w:basedOn w:val="Normln"/>
    <w:link w:val="ZkladntextChar1"/>
    <w:uiPriority w:val="99"/>
    <w:rsid w:val="00302223"/>
    <w:pPr>
      <w:spacing w:after="240"/>
    </w:pPr>
  </w:style>
  <w:style w:type="character" w:customStyle="1" w:styleId="ZkladntextChar">
    <w:name w:val="Základní text Char"/>
    <w:basedOn w:val="Standardnpsmoodstavce"/>
    <w:uiPriority w:val="99"/>
    <w:semiHidden/>
    <w:rsid w:val="00302223"/>
    <w:rPr>
      <w:sz w:val="24"/>
      <w:szCs w:val="24"/>
    </w:rPr>
  </w:style>
  <w:style w:type="character" w:customStyle="1" w:styleId="ZkladntextChar1">
    <w:name w:val="Základní text Char1"/>
    <w:basedOn w:val="Standardnpsmoodstavce"/>
    <w:link w:val="Zkladntext"/>
    <w:uiPriority w:val="99"/>
    <w:rsid w:val="00302223"/>
    <w:rPr>
      <w:sz w:val="24"/>
      <w:szCs w:val="24"/>
    </w:rPr>
  </w:style>
  <w:style w:type="paragraph" w:styleId="Normlnweb">
    <w:name w:val="Normal (Web)"/>
    <w:basedOn w:val="Normln"/>
    <w:uiPriority w:val="99"/>
    <w:unhideWhenUsed/>
    <w:rsid w:val="00837381"/>
    <w:pPr>
      <w:spacing w:before="100" w:beforeAutospacing="1" w:after="100" w:afterAutospacing="1"/>
    </w:pPr>
  </w:style>
  <w:style w:type="paragraph" w:styleId="Textbubliny">
    <w:name w:val="Balloon Text"/>
    <w:basedOn w:val="Normln"/>
    <w:link w:val="TextbublinyChar"/>
    <w:uiPriority w:val="99"/>
    <w:semiHidden/>
    <w:unhideWhenUsed/>
    <w:rsid w:val="00DC23B3"/>
    <w:rPr>
      <w:rFonts w:ascii="Tahoma" w:hAnsi="Tahoma" w:cs="Tahoma"/>
      <w:sz w:val="16"/>
      <w:szCs w:val="16"/>
    </w:rPr>
  </w:style>
  <w:style w:type="character" w:customStyle="1" w:styleId="TextbublinyChar">
    <w:name w:val="Text bubliny Char"/>
    <w:basedOn w:val="Standardnpsmoodstavce"/>
    <w:link w:val="Textbubliny"/>
    <w:uiPriority w:val="99"/>
    <w:semiHidden/>
    <w:rsid w:val="00DC23B3"/>
    <w:rPr>
      <w:rFonts w:ascii="Tahoma" w:hAnsi="Tahoma" w:cs="Tahoma"/>
      <w:sz w:val="16"/>
      <w:szCs w:val="16"/>
    </w:rPr>
  </w:style>
  <w:style w:type="character" w:styleId="Odkaznakoment">
    <w:name w:val="annotation reference"/>
    <w:basedOn w:val="Standardnpsmoodstavce"/>
    <w:uiPriority w:val="99"/>
    <w:semiHidden/>
    <w:unhideWhenUsed/>
    <w:rsid w:val="00901F49"/>
    <w:rPr>
      <w:sz w:val="16"/>
      <w:szCs w:val="16"/>
    </w:rPr>
  </w:style>
  <w:style w:type="paragraph" w:styleId="Textkomente">
    <w:name w:val="annotation text"/>
    <w:basedOn w:val="Normln"/>
    <w:link w:val="TextkomenteChar"/>
    <w:uiPriority w:val="99"/>
    <w:semiHidden/>
    <w:unhideWhenUsed/>
    <w:rsid w:val="00901F49"/>
    <w:rPr>
      <w:sz w:val="20"/>
      <w:szCs w:val="20"/>
    </w:rPr>
  </w:style>
  <w:style w:type="character" w:customStyle="1" w:styleId="TextkomenteChar">
    <w:name w:val="Text komentáře Char"/>
    <w:basedOn w:val="Standardnpsmoodstavce"/>
    <w:link w:val="Textkomente"/>
    <w:uiPriority w:val="99"/>
    <w:semiHidden/>
    <w:rsid w:val="00901F49"/>
  </w:style>
  <w:style w:type="paragraph" w:styleId="Pedmtkomente">
    <w:name w:val="annotation subject"/>
    <w:basedOn w:val="Textkomente"/>
    <w:next w:val="Textkomente"/>
    <w:link w:val="PedmtkomenteChar"/>
    <w:uiPriority w:val="99"/>
    <w:semiHidden/>
    <w:unhideWhenUsed/>
    <w:rsid w:val="00901F49"/>
    <w:rPr>
      <w:b/>
      <w:bCs/>
    </w:rPr>
  </w:style>
  <w:style w:type="character" w:customStyle="1" w:styleId="PedmtkomenteChar">
    <w:name w:val="Předmět komentáře Char"/>
    <w:basedOn w:val="TextkomenteChar"/>
    <w:link w:val="Pedmtkomente"/>
    <w:uiPriority w:val="99"/>
    <w:semiHidden/>
    <w:rsid w:val="00901F49"/>
    <w:rPr>
      <w:b/>
      <w:bCs/>
    </w:rPr>
  </w:style>
  <w:style w:type="paragraph" w:styleId="Zhlav">
    <w:name w:val="header"/>
    <w:basedOn w:val="Normln"/>
    <w:link w:val="ZhlavChar"/>
    <w:uiPriority w:val="99"/>
    <w:unhideWhenUsed/>
    <w:rsid w:val="00711B88"/>
    <w:pPr>
      <w:tabs>
        <w:tab w:val="center" w:pos="4536"/>
        <w:tab w:val="right" w:pos="9072"/>
      </w:tabs>
    </w:pPr>
  </w:style>
  <w:style w:type="character" w:customStyle="1" w:styleId="ZhlavChar">
    <w:name w:val="Záhlaví Char"/>
    <w:basedOn w:val="Standardnpsmoodstavce"/>
    <w:link w:val="Zhlav"/>
    <w:uiPriority w:val="99"/>
    <w:rsid w:val="00711B88"/>
    <w:rPr>
      <w:sz w:val="24"/>
      <w:szCs w:val="24"/>
    </w:rPr>
  </w:style>
  <w:style w:type="paragraph" w:styleId="Zpat">
    <w:name w:val="footer"/>
    <w:basedOn w:val="Normln"/>
    <w:link w:val="ZpatChar"/>
    <w:uiPriority w:val="99"/>
    <w:unhideWhenUsed/>
    <w:rsid w:val="00711B88"/>
    <w:pPr>
      <w:tabs>
        <w:tab w:val="center" w:pos="4536"/>
        <w:tab w:val="right" w:pos="9072"/>
      </w:tabs>
    </w:pPr>
  </w:style>
  <w:style w:type="character" w:customStyle="1" w:styleId="ZpatChar">
    <w:name w:val="Zápatí Char"/>
    <w:basedOn w:val="Standardnpsmoodstavce"/>
    <w:link w:val="Zpat"/>
    <w:uiPriority w:val="99"/>
    <w:rsid w:val="00711B88"/>
    <w:rPr>
      <w:sz w:val="24"/>
      <w:szCs w:val="24"/>
    </w:rPr>
  </w:style>
  <w:style w:type="paragraph" w:styleId="Odstavecseseznamem">
    <w:name w:val="List Paragraph"/>
    <w:basedOn w:val="Normln"/>
    <w:uiPriority w:val="34"/>
    <w:qFormat/>
    <w:rsid w:val="009E7C31"/>
    <w:pPr>
      <w:ind w:left="720"/>
      <w:contextualSpacing/>
      <w:jc w:val="both"/>
    </w:pPr>
    <w:rPr>
      <w:rFonts w:ascii="Calibri" w:hAnsi="Calibri"/>
      <w:szCs w:val="20"/>
      <w:lang w:eastAsia="en-US"/>
    </w:rPr>
  </w:style>
  <w:style w:type="paragraph" w:customStyle="1" w:styleId="Opatentext">
    <w:name w:val="Opatření text"/>
    <w:basedOn w:val="Normln"/>
    <w:uiPriority w:val="99"/>
    <w:rsid w:val="006A73CC"/>
    <w:pPr>
      <w:tabs>
        <w:tab w:val="num" w:pos="2520"/>
        <w:tab w:val="num" w:pos="3240"/>
      </w:tabs>
      <w:spacing w:after="120" w:line="360" w:lineRule="auto"/>
      <w:ind w:left="1440" w:firstLine="360"/>
      <w:jc w:val="both"/>
    </w:pPr>
  </w:style>
  <w:style w:type="character" w:styleId="Hypertextovodkaz">
    <w:name w:val="Hyperlink"/>
    <w:basedOn w:val="Standardnpsmoodstavce"/>
    <w:uiPriority w:val="99"/>
    <w:unhideWhenUsed/>
    <w:rsid w:val="008C463E"/>
    <w:rPr>
      <w:color w:val="0000FF"/>
      <w:u w:val="single"/>
    </w:rPr>
  </w:style>
  <w:style w:type="character" w:customStyle="1" w:styleId="apple-converted-space">
    <w:name w:val="apple-converted-space"/>
    <w:basedOn w:val="Standardnpsmoodstavce"/>
    <w:rsid w:val="008C4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6627">
      <w:bodyDiv w:val="1"/>
      <w:marLeft w:val="0"/>
      <w:marRight w:val="0"/>
      <w:marTop w:val="0"/>
      <w:marBottom w:val="0"/>
      <w:divBdr>
        <w:top w:val="none" w:sz="0" w:space="0" w:color="auto"/>
        <w:left w:val="none" w:sz="0" w:space="0" w:color="auto"/>
        <w:bottom w:val="none" w:sz="0" w:space="0" w:color="auto"/>
        <w:right w:val="none" w:sz="0" w:space="0" w:color="auto"/>
      </w:divBdr>
    </w:div>
    <w:div w:id="435563245">
      <w:bodyDiv w:val="1"/>
      <w:marLeft w:val="0"/>
      <w:marRight w:val="0"/>
      <w:marTop w:val="0"/>
      <w:marBottom w:val="0"/>
      <w:divBdr>
        <w:top w:val="none" w:sz="0" w:space="0" w:color="auto"/>
        <w:left w:val="none" w:sz="0" w:space="0" w:color="auto"/>
        <w:bottom w:val="none" w:sz="0" w:space="0" w:color="auto"/>
        <w:right w:val="none" w:sz="0" w:space="0" w:color="auto"/>
      </w:divBdr>
    </w:div>
    <w:div w:id="792671250">
      <w:bodyDiv w:val="1"/>
      <w:marLeft w:val="0"/>
      <w:marRight w:val="0"/>
      <w:marTop w:val="0"/>
      <w:marBottom w:val="0"/>
      <w:divBdr>
        <w:top w:val="none" w:sz="0" w:space="0" w:color="auto"/>
        <w:left w:val="none" w:sz="0" w:space="0" w:color="auto"/>
        <w:bottom w:val="none" w:sz="0" w:space="0" w:color="auto"/>
        <w:right w:val="none" w:sz="0" w:space="0" w:color="auto"/>
      </w:divBdr>
    </w:div>
    <w:div w:id="79351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portal.gov.cz/app/zakony/zakon.jsp?page=0&amp;fulltext=&amp;nr=139~2F2006&amp;part=&amp;name=&amp;rpp=1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EDC50BDB5F42B28EAD9BAD461D29" ma:contentTypeVersion="0" ma:contentTypeDescription="Vytvořit nový dokument" ma:contentTypeScope="" ma:versionID="cb637e52183a58394b8a3f85acbd9b53">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32FFC-18CE-4047-A3CA-B218D66F0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0B4085-56BB-4777-B04A-06FBA2B2A760}">
  <ds:schemaRefs>
    <ds:schemaRef ds:uri="http://schemas.microsoft.com/sharepoint/v3/contenttype/forms"/>
  </ds:schemaRefs>
</ds:datastoreItem>
</file>

<file path=customXml/itemProps3.xml><?xml version="1.0" encoding="utf-8"?>
<ds:datastoreItem xmlns:ds="http://schemas.openxmlformats.org/officeDocument/2006/customXml" ds:itemID="{49302914-B4C8-4686-98E1-AA8F58A09FDD}">
  <ds:schemaRefs>
    <ds:schemaRef ds:uri="http://schemas.microsoft.com/office/2006/metadata/properties"/>
  </ds:schemaRefs>
</ds:datastoreItem>
</file>

<file path=customXml/itemProps4.xml><?xml version="1.0" encoding="utf-8"?>
<ds:datastoreItem xmlns:ds="http://schemas.openxmlformats.org/officeDocument/2006/customXml" ds:itemID="{42FB60AB-4879-4206-A0F4-3255A4673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8572</Words>
  <Characters>50578</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59032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Adámková</dc:creator>
  <cp:lastModifiedBy>Klímová Michaela</cp:lastModifiedBy>
  <cp:revision>2</cp:revision>
  <cp:lastPrinted>2014-04-29T14:05:00Z</cp:lastPrinted>
  <dcterms:created xsi:type="dcterms:W3CDTF">2014-05-07T12:51:00Z</dcterms:created>
  <dcterms:modified xsi:type="dcterms:W3CDTF">2014-05-07T12:51:00Z</dcterms:modified>
</cp:coreProperties>
</file>