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61" w:rsidRPr="004964EC" w:rsidRDefault="00B12061" w:rsidP="00445629">
      <w:pPr>
        <w:jc w:val="both"/>
        <w:rPr>
          <w:rFonts w:ascii="Arial" w:hAnsi="Arial" w:cs="Arial"/>
          <w:b/>
          <w:sz w:val="24"/>
          <w:szCs w:val="24"/>
        </w:rPr>
      </w:pPr>
      <w:bookmarkStart w:id="0" w:name="_GoBack"/>
      <w:bookmarkEnd w:id="0"/>
      <w:r w:rsidRPr="004964EC">
        <w:rPr>
          <w:rFonts w:ascii="Arial" w:hAnsi="Arial" w:cs="Arial"/>
          <w:b/>
          <w:sz w:val="24"/>
          <w:szCs w:val="24"/>
        </w:rPr>
        <w:t>Věcný záměr zákona o veřejných zakázkách</w:t>
      </w:r>
    </w:p>
    <w:p w:rsidR="00B12061" w:rsidRPr="00445629" w:rsidRDefault="00B12061" w:rsidP="00445629">
      <w:pPr>
        <w:rPr>
          <w:rFonts w:ascii="Arial" w:hAnsi="Arial" w:cs="Arial"/>
          <w:b/>
          <w:sz w:val="20"/>
          <w:szCs w:val="20"/>
        </w:rPr>
      </w:pPr>
    </w:p>
    <w:p w:rsidR="00D92DF9" w:rsidRPr="00445629" w:rsidRDefault="00FC4B2D" w:rsidP="00445629">
      <w:pPr>
        <w:rPr>
          <w:rFonts w:ascii="Arial" w:hAnsi="Arial" w:cs="Arial"/>
          <w:b/>
          <w:sz w:val="20"/>
          <w:szCs w:val="20"/>
        </w:rPr>
      </w:pPr>
      <w:r w:rsidRPr="00445629">
        <w:rPr>
          <w:rFonts w:ascii="Arial" w:hAnsi="Arial" w:cs="Arial"/>
          <w:b/>
          <w:sz w:val="20"/>
          <w:szCs w:val="20"/>
        </w:rPr>
        <w:t xml:space="preserve">1. </w:t>
      </w:r>
      <w:r w:rsidR="00B12061" w:rsidRPr="00445629">
        <w:rPr>
          <w:rFonts w:ascii="Arial" w:hAnsi="Arial" w:cs="Arial"/>
          <w:b/>
          <w:sz w:val="20"/>
          <w:szCs w:val="20"/>
        </w:rPr>
        <w:t>Přehled právních předpisů vztahující</w:t>
      </w:r>
      <w:r w:rsidR="0032085F" w:rsidRPr="00445629">
        <w:rPr>
          <w:rFonts w:ascii="Arial" w:hAnsi="Arial" w:cs="Arial"/>
          <w:b/>
          <w:sz w:val="20"/>
          <w:szCs w:val="20"/>
        </w:rPr>
        <w:t>ch</w:t>
      </w:r>
      <w:r w:rsidR="00B12061" w:rsidRPr="00445629">
        <w:rPr>
          <w:rFonts w:ascii="Arial" w:hAnsi="Arial" w:cs="Arial"/>
          <w:b/>
          <w:sz w:val="20"/>
          <w:szCs w:val="20"/>
        </w:rPr>
        <w:t xml:space="preserve"> se k</w:t>
      </w:r>
      <w:r w:rsidRPr="00445629">
        <w:rPr>
          <w:rFonts w:ascii="Arial" w:hAnsi="Arial" w:cs="Arial"/>
          <w:b/>
          <w:sz w:val="20"/>
          <w:szCs w:val="20"/>
        </w:rPr>
        <w:t> </w:t>
      </w:r>
      <w:r w:rsidR="00B12061" w:rsidRPr="00445629">
        <w:rPr>
          <w:rFonts w:ascii="Arial" w:hAnsi="Arial" w:cs="Arial"/>
          <w:b/>
          <w:sz w:val="20"/>
          <w:szCs w:val="20"/>
        </w:rPr>
        <w:t>záměru</w:t>
      </w:r>
    </w:p>
    <w:p w:rsidR="00B12061" w:rsidRPr="00445629" w:rsidRDefault="00B12061" w:rsidP="00445629">
      <w:pPr>
        <w:ind w:firstLine="567"/>
        <w:rPr>
          <w:rFonts w:ascii="Arial" w:hAnsi="Arial" w:cs="Arial"/>
          <w:sz w:val="20"/>
          <w:szCs w:val="20"/>
        </w:rPr>
      </w:pPr>
      <w:r w:rsidRPr="00445629">
        <w:rPr>
          <w:rFonts w:ascii="Arial" w:hAnsi="Arial" w:cs="Arial"/>
          <w:sz w:val="20"/>
          <w:szCs w:val="20"/>
        </w:rPr>
        <w:t>Viz Z</w:t>
      </w:r>
      <w:r w:rsidR="0032085F" w:rsidRPr="00445629">
        <w:rPr>
          <w:rFonts w:ascii="Arial" w:hAnsi="Arial" w:cs="Arial"/>
          <w:sz w:val="20"/>
          <w:szCs w:val="20"/>
        </w:rPr>
        <w:t>ávěrečná z</w:t>
      </w:r>
      <w:r w:rsidRPr="00445629">
        <w:rPr>
          <w:rFonts w:ascii="Arial" w:hAnsi="Arial" w:cs="Arial"/>
          <w:sz w:val="20"/>
          <w:szCs w:val="20"/>
        </w:rPr>
        <w:t>práva</w:t>
      </w:r>
      <w:r w:rsidR="0032085F" w:rsidRPr="00445629">
        <w:rPr>
          <w:rFonts w:ascii="Arial" w:hAnsi="Arial" w:cs="Arial"/>
          <w:sz w:val="20"/>
          <w:szCs w:val="20"/>
        </w:rPr>
        <w:t xml:space="preserve"> z hodnocení dopadů regulace (příloha č. 1)</w:t>
      </w:r>
      <w:r w:rsidRPr="00445629">
        <w:rPr>
          <w:rFonts w:ascii="Arial" w:hAnsi="Arial" w:cs="Arial"/>
          <w:sz w:val="20"/>
          <w:szCs w:val="20"/>
        </w:rPr>
        <w:t xml:space="preserve"> bod 1.3.</w:t>
      </w:r>
    </w:p>
    <w:p w:rsidR="00B12061" w:rsidRPr="00445629" w:rsidRDefault="00FC4B2D" w:rsidP="00445629">
      <w:pPr>
        <w:rPr>
          <w:rFonts w:ascii="Arial" w:hAnsi="Arial" w:cs="Arial"/>
          <w:b/>
          <w:sz w:val="20"/>
          <w:szCs w:val="20"/>
        </w:rPr>
      </w:pPr>
      <w:r w:rsidRPr="00445629">
        <w:rPr>
          <w:rFonts w:ascii="Arial" w:hAnsi="Arial" w:cs="Arial"/>
          <w:b/>
          <w:sz w:val="20"/>
          <w:szCs w:val="20"/>
        </w:rPr>
        <w:t xml:space="preserve">2. </w:t>
      </w:r>
      <w:r w:rsidR="00B12061" w:rsidRPr="00445629">
        <w:rPr>
          <w:rFonts w:ascii="Arial" w:hAnsi="Arial" w:cs="Arial"/>
          <w:b/>
          <w:sz w:val="20"/>
          <w:szCs w:val="20"/>
        </w:rPr>
        <w:t>Zhodnocení stávající právní úpravy</w:t>
      </w:r>
    </w:p>
    <w:p w:rsidR="00B12061" w:rsidRPr="00445629" w:rsidRDefault="00B12061" w:rsidP="00445629">
      <w:pPr>
        <w:ind w:firstLine="567"/>
        <w:rPr>
          <w:rFonts w:ascii="Arial" w:hAnsi="Arial" w:cs="Arial"/>
          <w:sz w:val="20"/>
          <w:szCs w:val="20"/>
        </w:rPr>
      </w:pPr>
      <w:r w:rsidRPr="00445629">
        <w:rPr>
          <w:rFonts w:ascii="Arial" w:hAnsi="Arial" w:cs="Arial"/>
          <w:sz w:val="20"/>
          <w:szCs w:val="20"/>
        </w:rPr>
        <w:t>Viz Z</w:t>
      </w:r>
      <w:r w:rsidR="0032085F" w:rsidRPr="00445629">
        <w:rPr>
          <w:rFonts w:ascii="Arial" w:hAnsi="Arial" w:cs="Arial"/>
          <w:sz w:val="20"/>
          <w:szCs w:val="20"/>
        </w:rPr>
        <w:t>ávěrečná z</w:t>
      </w:r>
      <w:r w:rsidRPr="00445629">
        <w:rPr>
          <w:rFonts w:ascii="Arial" w:hAnsi="Arial" w:cs="Arial"/>
          <w:sz w:val="20"/>
          <w:szCs w:val="20"/>
        </w:rPr>
        <w:t xml:space="preserve">práva </w:t>
      </w:r>
      <w:r w:rsidR="0032085F" w:rsidRPr="00445629">
        <w:rPr>
          <w:rFonts w:ascii="Arial" w:hAnsi="Arial" w:cs="Arial"/>
          <w:sz w:val="20"/>
          <w:szCs w:val="20"/>
        </w:rPr>
        <w:t xml:space="preserve">z hodnocení dopadů regulace (příloha č. 1) </w:t>
      </w:r>
      <w:r w:rsidRPr="00445629">
        <w:rPr>
          <w:rFonts w:ascii="Arial" w:hAnsi="Arial" w:cs="Arial"/>
          <w:sz w:val="20"/>
          <w:szCs w:val="20"/>
        </w:rPr>
        <w:t xml:space="preserve">bod </w:t>
      </w:r>
      <w:r w:rsidR="008B106F" w:rsidRPr="00445629">
        <w:rPr>
          <w:rFonts w:ascii="Arial" w:hAnsi="Arial" w:cs="Arial"/>
          <w:sz w:val="20"/>
          <w:szCs w:val="20"/>
        </w:rPr>
        <w:t xml:space="preserve">1.2, </w:t>
      </w:r>
      <w:r w:rsidRPr="00445629">
        <w:rPr>
          <w:rFonts w:ascii="Arial" w:hAnsi="Arial" w:cs="Arial"/>
          <w:sz w:val="20"/>
          <w:szCs w:val="20"/>
        </w:rPr>
        <w:t>1.3</w:t>
      </w:r>
      <w:r w:rsidR="008B106F" w:rsidRPr="00445629">
        <w:rPr>
          <w:rFonts w:ascii="Arial" w:hAnsi="Arial" w:cs="Arial"/>
          <w:sz w:val="20"/>
          <w:szCs w:val="20"/>
        </w:rPr>
        <w:t xml:space="preserve"> a 1.4</w:t>
      </w:r>
      <w:r w:rsidRPr="00445629">
        <w:rPr>
          <w:rFonts w:ascii="Arial" w:hAnsi="Arial" w:cs="Arial"/>
          <w:sz w:val="20"/>
          <w:szCs w:val="20"/>
        </w:rPr>
        <w:t>.</w:t>
      </w:r>
    </w:p>
    <w:p w:rsidR="00B12061" w:rsidRPr="00445629" w:rsidRDefault="00FC4B2D" w:rsidP="00445629">
      <w:pPr>
        <w:rPr>
          <w:rFonts w:ascii="Arial" w:hAnsi="Arial" w:cs="Arial"/>
          <w:b/>
          <w:sz w:val="20"/>
          <w:szCs w:val="20"/>
        </w:rPr>
      </w:pPr>
      <w:r w:rsidRPr="00445629">
        <w:rPr>
          <w:rFonts w:ascii="Arial" w:hAnsi="Arial" w:cs="Arial"/>
          <w:b/>
          <w:sz w:val="20"/>
          <w:szCs w:val="20"/>
        </w:rPr>
        <w:t xml:space="preserve">3. </w:t>
      </w:r>
      <w:r w:rsidR="00B12061" w:rsidRPr="00445629">
        <w:rPr>
          <w:rFonts w:ascii="Arial" w:hAnsi="Arial" w:cs="Arial"/>
          <w:b/>
          <w:sz w:val="20"/>
          <w:szCs w:val="20"/>
        </w:rPr>
        <w:t>Návrh věcného řešení</w:t>
      </w:r>
    </w:p>
    <w:p w:rsidR="003A49D8" w:rsidRDefault="00BB155A" w:rsidP="003A49D8">
      <w:pPr>
        <w:ind w:firstLine="567"/>
        <w:rPr>
          <w:rFonts w:ascii="Arial" w:hAnsi="Arial" w:cs="Arial"/>
          <w:sz w:val="20"/>
          <w:szCs w:val="20"/>
        </w:rPr>
      </w:pPr>
      <w:r w:rsidRPr="00445629">
        <w:rPr>
          <w:rFonts w:ascii="Arial" w:hAnsi="Arial" w:cs="Arial"/>
          <w:sz w:val="20"/>
          <w:szCs w:val="20"/>
        </w:rPr>
        <w:t>Viz Z</w:t>
      </w:r>
      <w:r w:rsidR="0032085F" w:rsidRPr="00445629">
        <w:rPr>
          <w:rFonts w:ascii="Arial" w:hAnsi="Arial" w:cs="Arial"/>
          <w:sz w:val="20"/>
          <w:szCs w:val="20"/>
        </w:rPr>
        <w:t>ávěrečná z</w:t>
      </w:r>
      <w:r w:rsidRPr="00445629">
        <w:rPr>
          <w:rFonts w:ascii="Arial" w:hAnsi="Arial" w:cs="Arial"/>
          <w:sz w:val="20"/>
          <w:szCs w:val="20"/>
        </w:rPr>
        <w:t xml:space="preserve">práva </w:t>
      </w:r>
      <w:r w:rsidR="0032085F" w:rsidRPr="00445629">
        <w:rPr>
          <w:rFonts w:ascii="Arial" w:hAnsi="Arial" w:cs="Arial"/>
          <w:sz w:val="20"/>
          <w:szCs w:val="20"/>
        </w:rPr>
        <w:t xml:space="preserve">z hodnocení dopadů regulace (příloha č. 1) </w:t>
      </w:r>
      <w:r w:rsidRPr="00445629">
        <w:rPr>
          <w:rFonts w:ascii="Arial" w:hAnsi="Arial" w:cs="Arial"/>
          <w:sz w:val="20"/>
          <w:szCs w:val="20"/>
        </w:rPr>
        <w:t xml:space="preserve">bod </w:t>
      </w:r>
      <w:r w:rsidR="0032085F" w:rsidRPr="00445629">
        <w:rPr>
          <w:rFonts w:ascii="Arial" w:hAnsi="Arial" w:cs="Arial"/>
          <w:sz w:val="20"/>
          <w:szCs w:val="20"/>
        </w:rPr>
        <w:t xml:space="preserve">2 a </w:t>
      </w:r>
      <w:r w:rsidRPr="00445629">
        <w:rPr>
          <w:rFonts w:ascii="Arial" w:hAnsi="Arial" w:cs="Arial"/>
          <w:sz w:val="20"/>
          <w:szCs w:val="20"/>
        </w:rPr>
        <w:t>3</w:t>
      </w:r>
      <w:r w:rsidR="0032085F" w:rsidRPr="00445629">
        <w:rPr>
          <w:rFonts w:ascii="Arial" w:hAnsi="Arial" w:cs="Arial"/>
          <w:sz w:val="20"/>
          <w:szCs w:val="20"/>
        </w:rPr>
        <w:t>.</w:t>
      </w:r>
    </w:p>
    <w:p w:rsidR="00FC4B2D" w:rsidRPr="00445629" w:rsidRDefault="00FC4B2D" w:rsidP="00445629">
      <w:pPr>
        <w:rPr>
          <w:rFonts w:ascii="Arial" w:hAnsi="Arial" w:cs="Arial"/>
          <w:b/>
          <w:sz w:val="20"/>
          <w:szCs w:val="20"/>
        </w:rPr>
      </w:pPr>
      <w:r w:rsidRPr="00445629">
        <w:rPr>
          <w:rFonts w:ascii="Arial" w:hAnsi="Arial" w:cs="Arial"/>
          <w:b/>
          <w:sz w:val="20"/>
          <w:szCs w:val="20"/>
        </w:rPr>
        <w:t xml:space="preserve">4. </w:t>
      </w:r>
      <w:r w:rsidR="00B12061" w:rsidRPr="00445629">
        <w:rPr>
          <w:rFonts w:ascii="Arial" w:hAnsi="Arial" w:cs="Arial"/>
          <w:b/>
          <w:sz w:val="20"/>
          <w:szCs w:val="20"/>
        </w:rPr>
        <w:t>Způsob promítnutí navrhovaného věcného řešení do právního řádu</w:t>
      </w:r>
    </w:p>
    <w:p w:rsidR="00FC4B2D" w:rsidRPr="00445629" w:rsidRDefault="00241982" w:rsidP="00445629">
      <w:pPr>
        <w:ind w:firstLine="567"/>
        <w:jc w:val="both"/>
        <w:rPr>
          <w:rFonts w:ascii="Arial" w:hAnsi="Arial" w:cs="Arial"/>
          <w:sz w:val="20"/>
          <w:szCs w:val="20"/>
        </w:rPr>
      </w:pPr>
      <w:r w:rsidRPr="00445629">
        <w:rPr>
          <w:rFonts w:ascii="Arial" w:hAnsi="Arial" w:cs="Arial"/>
          <w:sz w:val="20"/>
          <w:szCs w:val="20"/>
        </w:rPr>
        <w:t xml:space="preserve">V rámci transpozice tří zadávacích směrnic </w:t>
      </w:r>
      <w:r w:rsidR="0032085F" w:rsidRPr="00445629">
        <w:rPr>
          <w:rFonts w:ascii="Arial" w:hAnsi="Arial" w:cs="Arial"/>
          <w:sz w:val="20"/>
          <w:szCs w:val="20"/>
        </w:rPr>
        <w:t>–</w:t>
      </w:r>
      <w:r w:rsidRPr="00445629">
        <w:rPr>
          <w:rFonts w:ascii="Arial" w:hAnsi="Arial" w:cs="Arial"/>
          <w:sz w:val="20"/>
          <w:szCs w:val="20"/>
        </w:rPr>
        <w:t xml:space="preserve"> </w:t>
      </w:r>
      <w:r w:rsidR="0032085F" w:rsidRPr="00445629">
        <w:rPr>
          <w:rFonts w:ascii="Arial" w:hAnsi="Arial" w:cs="Arial"/>
          <w:sz w:val="20"/>
          <w:szCs w:val="20"/>
        </w:rPr>
        <w:t>s</w:t>
      </w:r>
      <w:r w:rsidRPr="00445629">
        <w:rPr>
          <w:rFonts w:ascii="Arial" w:hAnsi="Arial" w:cs="Arial"/>
          <w:sz w:val="20"/>
          <w:szCs w:val="20"/>
        </w:rPr>
        <w:t xml:space="preserve">měrnice o zadávání veřejných zakázek 2014/24/EU (nahrazující Směrnici 2004/18/ES), </w:t>
      </w:r>
      <w:r w:rsidR="0027605F" w:rsidRPr="00445629">
        <w:rPr>
          <w:rFonts w:ascii="Arial" w:hAnsi="Arial" w:cs="Arial"/>
          <w:sz w:val="20"/>
          <w:szCs w:val="20"/>
        </w:rPr>
        <w:t>s</w:t>
      </w:r>
      <w:r w:rsidRPr="00445629">
        <w:rPr>
          <w:rFonts w:ascii="Arial" w:hAnsi="Arial" w:cs="Arial"/>
          <w:sz w:val="20"/>
          <w:szCs w:val="20"/>
        </w:rPr>
        <w:t>měrnic</w:t>
      </w:r>
      <w:r w:rsidR="0027605F" w:rsidRPr="00445629">
        <w:rPr>
          <w:rFonts w:ascii="Arial" w:hAnsi="Arial" w:cs="Arial"/>
          <w:sz w:val="20"/>
          <w:szCs w:val="20"/>
        </w:rPr>
        <w:t>e</w:t>
      </w:r>
      <w:r w:rsidRPr="00445629">
        <w:rPr>
          <w:rFonts w:ascii="Arial" w:hAnsi="Arial" w:cs="Arial"/>
          <w:sz w:val="20"/>
          <w:szCs w:val="20"/>
        </w:rPr>
        <w:t xml:space="preserve"> o zadávání veřejných zakázek subjekty působícími v odvětví vodního hospodářství, energetiky, dopravy a poštovních služeb 2014/25/EU (nahrazující Směrnici 2004/17/ES) a </w:t>
      </w:r>
      <w:r w:rsidR="0027605F" w:rsidRPr="00445629">
        <w:rPr>
          <w:rFonts w:ascii="Arial" w:hAnsi="Arial" w:cs="Arial"/>
          <w:sz w:val="20"/>
          <w:szCs w:val="20"/>
        </w:rPr>
        <w:t>s</w:t>
      </w:r>
      <w:r w:rsidRPr="00445629">
        <w:rPr>
          <w:rFonts w:ascii="Arial" w:hAnsi="Arial" w:cs="Arial"/>
          <w:sz w:val="20"/>
          <w:szCs w:val="20"/>
        </w:rPr>
        <w:t>měrnic</w:t>
      </w:r>
      <w:r w:rsidR="0027605F" w:rsidRPr="00445629">
        <w:rPr>
          <w:rFonts w:ascii="Arial" w:hAnsi="Arial" w:cs="Arial"/>
          <w:sz w:val="20"/>
          <w:szCs w:val="20"/>
        </w:rPr>
        <w:t>e</w:t>
      </w:r>
      <w:r w:rsidRPr="00445629">
        <w:rPr>
          <w:rFonts w:ascii="Arial" w:hAnsi="Arial" w:cs="Arial"/>
          <w:sz w:val="20"/>
          <w:szCs w:val="20"/>
        </w:rPr>
        <w:t xml:space="preserve"> o udělování koncesí 2014/23/EU – bude připraven a do meziresortního připomínkového řízení předložen návrh zákona o veřejných zakázkách, který nahradí zákon č. 137/2006 Sb., o veřejných zakázkách. Součástí nového předpisu pak bude také regulace oblastí, na které přímo nedopadají předmětné směrnice, právě těmto oblastem se věnuje předkládaný </w:t>
      </w:r>
      <w:r w:rsidR="0027605F" w:rsidRPr="00445629">
        <w:rPr>
          <w:rFonts w:ascii="Arial" w:hAnsi="Arial" w:cs="Arial"/>
          <w:sz w:val="20"/>
          <w:szCs w:val="20"/>
        </w:rPr>
        <w:t xml:space="preserve">věcný </w:t>
      </w:r>
      <w:r w:rsidRPr="00445629">
        <w:rPr>
          <w:rFonts w:ascii="Arial" w:hAnsi="Arial" w:cs="Arial"/>
          <w:sz w:val="20"/>
          <w:szCs w:val="20"/>
        </w:rPr>
        <w:t xml:space="preserve">záměr a tyto oblasti by pak měly být v souladu s návrhy uvedenými v tomto </w:t>
      </w:r>
      <w:r w:rsidR="0027605F" w:rsidRPr="00445629">
        <w:rPr>
          <w:rFonts w:ascii="Arial" w:hAnsi="Arial" w:cs="Arial"/>
          <w:sz w:val="20"/>
          <w:szCs w:val="20"/>
        </w:rPr>
        <w:t xml:space="preserve">věcném </w:t>
      </w:r>
      <w:r w:rsidRPr="00445629">
        <w:rPr>
          <w:rFonts w:ascii="Arial" w:hAnsi="Arial" w:cs="Arial"/>
          <w:sz w:val="20"/>
          <w:szCs w:val="20"/>
        </w:rPr>
        <w:t xml:space="preserve">záměru regulovány také novou právní úpravou. </w:t>
      </w:r>
    </w:p>
    <w:p w:rsidR="00B12061" w:rsidRPr="00445629" w:rsidRDefault="00B12061" w:rsidP="00445629">
      <w:pPr>
        <w:jc w:val="both"/>
        <w:rPr>
          <w:rFonts w:ascii="Arial" w:hAnsi="Arial" w:cs="Arial"/>
          <w:b/>
          <w:sz w:val="20"/>
          <w:szCs w:val="20"/>
        </w:rPr>
      </w:pPr>
      <w:r w:rsidRPr="00445629">
        <w:rPr>
          <w:rFonts w:ascii="Arial" w:hAnsi="Arial" w:cs="Arial"/>
          <w:b/>
          <w:sz w:val="20"/>
          <w:szCs w:val="20"/>
        </w:rPr>
        <w:t>a) Zhodnocení souladu návrhu s ústavním pořádkem České republiky</w:t>
      </w:r>
    </w:p>
    <w:p w:rsidR="00B12061" w:rsidRPr="00445629" w:rsidRDefault="00B12061" w:rsidP="00445629">
      <w:pPr>
        <w:ind w:firstLine="567"/>
        <w:jc w:val="both"/>
        <w:rPr>
          <w:rFonts w:ascii="Arial" w:hAnsi="Arial" w:cs="Arial"/>
          <w:sz w:val="20"/>
          <w:szCs w:val="20"/>
        </w:rPr>
      </w:pPr>
      <w:r w:rsidRPr="00445629">
        <w:rPr>
          <w:rFonts w:ascii="Arial" w:hAnsi="Arial" w:cs="Arial"/>
          <w:sz w:val="20"/>
          <w:szCs w:val="20"/>
        </w:rPr>
        <w:t xml:space="preserve">Návrh </w:t>
      </w:r>
      <w:r w:rsidR="0027605F" w:rsidRPr="00445629">
        <w:rPr>
          <w:rFonts w:ascii="Arial" w:hAnsi="Arial" w:cs="Arial"/>
          <w:sz w:val="20"/>
          <w:szCs w:val="20"/>
        </w:rPr>
        <w:t xml:space="preserve">věcného záměru </w:t>
      </w:r>
      <w:r w:rsidRPr="00445629">
        <w:rPr>
          <w:rFonts w:ascii="Arial" w:hAnsi="Arial" w:cs="Arial"/>
          <w:sz w:val="20"/>
          <w:szCs w:val="20"/>
        </w:rPr>
        <w:t>zákona je v souladu s ústavním pořádkem České republiky.</w:t>
      </w:r>
    </w:p>
    <w:p w:rsidR="00B12061" w:rsidRPr="00445629" w:rsidRDefault="00B12061" w:rsidP="00445629">
      <w:pPr>
        <w:pStyle w:val="Nadpis2"/>
        <w:numPr>
          <w:ilvl w:val="0"/>
          <w:numId w:val="0"/>
        </w:numPr>
        <w:spacing w:line="276" w:lineRule="auto"/>
        <w:jc w:val="both"/>
        <w:rPr>
          <w:rFonts w:eastAsiaTheme="minorHAnsi" w:cs="Arial"/>
          <w:i w:val="0"/>
          <w:sz w:val="20"/>
          <w:lang w:eastAsia="en-US"/>
        </w:rPr>
      </w:pPr>
      <w:r w:rsidRPr="00445629">
        <w:rPr>
          <w:rFonts w:eastAsiaTheme="minorHAnsi" w:cs="Arial"/>
          <w:i w:val="0"/>
          <w:sz w:val="20"/>
          <w:lang w:eastAsia="en-US"/>
        </w:rPr>
        <w:t>b) Zhodnocení souladu návrhu novely zákona s mezinárodními smlouvami a slučitelnost s právními akty práva Evropské unie</w:t>
      </w:r>
    </w:p>
    <w:p w:rsidR="00B12061" w:rsidRPr="00445629" w:rsidRDefault="00B12061" w:rsidP="00445629">
      <w:pPr>
        <w:ind w:firstLine="567"/>
        <w:jc w:val="both"/>
        <w:rPr>
          <w:rFonts w:ascii="Arial" w:hAnsi="Arial" w:cs="Arial"/>
          <w:sz w:val="20"/>
          <w:szCs w:val="20"/>
        </w:rPr>
      </w:pPr>
      <w:r w:rsidRPr="00445629">
        <w:rPr>
          <w:rFonts w:ascii="Arial" w:hAnsi="Arial" w:cs="Arial"/>
          <w:sz w:val="20"/>
          <w:szCs w:val="20"/>
        </w:rPr>
        <w:t>Předkládaný věcný záměr je slučitelný s mezinárodními smlouvami, kterými je Česká republika vázána, a s právními akty Evropské unie. Především tedy s evropskými zadávacími směrnicemi</w:t>
      </w:r>
      <w:r w:rsidR="00AF6DF4" w:rsidRPr="00445629">
        <w:rPr>
          <w:rFonts w:ascii="Arial" w:hAnsi="Arial" w:cs="Arial"/>
          <w:sz w:val="20"/>
          <w:szCs w:val="20"/>
        </w:rPr>
        <w:t xml:space="preserve"> </w:t>
      </w:r>
      <w:r w:rsidR="0027605F" w:rsidRPr="00445629">
        <w:rPr>
          <w:rFonts w:ascii="Arial" w:hAnsi="Arial" w:cs="Arial"/>
          <w:sz w:val="20"/>
          <w:szCs w:val="20"/>
        </w:rPr>
        <w:t xml:space="preserve">Evropského parlamentu a Rady </w:t>
      </w:r>
      <w:r w:rsidR="00AF6DF4" w:rsidRPr="00445629">
        <w:rPr>
          <w:rFonts w:ascii="Arial" w:hAnsi="Arial" w:cs="Arial"/>
          <w:sz w:val="20"/>
          <w:szCs w:val="20"/>
        </w:rPr>
        <w:t>2014/24/EU ze dne 26</w:t>
      </w:r>
      <w:r w:rsidRPr="00445629">
        <w:rPr>
          <w:rFonts w:ascii="Arial" w:hAnsi="Arial" w:cs="Arial"/>
          <w:sz w:val="20"/>
          <w:szCs w:val="20"/>
        </w:rPr>
        <w:t>. </w:t>
      </w:r>
      <w:r w:rsidR="00AF6DF4" w:rsidRPr="00445629">
        <w:rPr>
          <w:rFonts w:ascii="Arial" w:hAnsi="Arial" w:cs="Arial"/>
          <w:sz w:val="20"/>
          <w:szCs w:val="20"/>
        </w:rPr>
        <w:t>února 201</w:t>
      </w:r>
      <w:r w:rsidRPr="00445629">
        <w:rPr>
          <w:rFonts w:ascii="Arial" w:hAnsi="Arial" w:cs="Arial"/>
          <w:sz w:val="20"/>
          <w:szCs w:val="20"/>
        </w:rPr>
        <w:t>4 o zadávání veřejných zakázek</w:t>
      </w:r>
      <w:r w:rsidR="00AF6DF4" w:rsidRPr="00445629">
        <w:rPr>
          <w:rFonts w:ascii="Arial" w:hAnsi="Arial" w:cs="Arial"/>
          <w:sz w:val="20"/>
          <w:szCs w:val="20"/>
        </w:rPr>
        <w:t xml:space="preserve"> a o zrušení směrnice 2014/18/EU, 201</w:t>
      </w:r>
      <w:r w:rsidRPr="00445629">
        <w:rPr>
          <w:rFonts w:ascii="Arial" w:hAnsi="Arial" w:cs="Arial"/>
          <w:sz w:val="20"/>
          <w:szCs w:val="20"/>
        </w:rPr>
        <w:t>4/</w:t>
      </w:r>
      <w:r w:rsidR="00AF6DF4" w:rsidRPr="00445629">
        <w:rPr>
          <w:rFonts w:ascii="Arial" w:hAnsi="Arial" w:cs="Arial"/>
          <w:sz w:val="20"/>
          <w:szCs w:val="20"/>
        </w:rPr>
        <w:t>25/EU</w:t>
      </w:r>
      <w:r w:rsidRPr="00445629">
        <w:rPr>
          <w:rFonts w:ascii="Arial" w:hAnsi="Arial" w:cs="Arial"/>
          <w:sz w:val="20"/>
          <w:szCs w:val="20"/>
        </w:rPr>
        <w:t xml:space="preserve"> ze dne </w:t>
      </w:r>
      <w:r w:rsidR="00AF6DF4" w:rsidRPr="00445629">
        <w:rPr>
          <w:rFonts w:ascii="Arial" w:hAnsi="Arial" w:cs="Arial"/>
          <w:sz w:val="20"/>
          <w:szCs w:val="20"/>
        </w:rPr>
        <w:t>26. února 2014 </w:t>
      </w:r>
      <w:r w:rsidRPr="00445629">
        <w:rPr>
          <w:rFonts w:ascii="Arial" w:hAnsi="Arial" w:cs="Arial"/>
          <w:sz w:val="20"/>
          <w:szCs w:val="20"/>
        </w:rPr>
        <w:t xml:space="preserve">o </w:t>
      </w:r>
      <w:r w:rsidR="00AF6DF4" w:rsidRPr="00445629">
        <w:rPr>
          <w:rFonts w:ascii="Arial" w:hAnsi="Arial" w:cs="Arial"/>
          <w:sz w:val="20"/>
          <w:szCs w:val="20"/>
        </w:rPr>
        <w:t>zadávání</w:t>
      </w:r>
      <w:r w:rsidRPr="00445629">
        <w:rPr>
          <w:rFonts w:ascii="Arial" w:hAnsi="Arial" w:cs="Arial"/>
          <w:sz w:val="20"/>
          <w:szCs w:val="20"/>
        </w:rPr>
        <w:t xml:space="preserve"> zakázek subjekty působícími v odvětví vodního hospodářství, energetiky, dopravy a poštovních služeb</w:t>
      </w:r>
      <w:r w:rsidR="00AF6DF4" w:rsidRPr="00445629">
        <w:rPr>
          <w:rFonts w:ascii="Arial" w:hAnsi="Arial" w:cs="Arial"/>
          <w:sz w:val="20"/>
          <w:szCs w:val="20"/>
        </w:rPr>
        <w:t xml:space="preserve"> a o zrušení směrnice 2004/17/EU</w:t>
      </w:r>
      <w:r w:rsidRPr="00445629">
        <w:rPr>
          <w:rFonts w:ascii="Arial" w:hAnsi="Arial" w:cs="Arial"/>
          <w:sz w:val="20"/>
          <w:szCs w:val="20"/>
        </w:rPr>
        <w:t xml:space="preserve">, </w:t>
      </w:r>
      <w:r w:rsidR="00AF6DF4" w:rsidRPr="00445629">
        <w:rPr>
          <w:rFonts w:ascii="Arial" w:hAnsi="Arial" w:cs="Arial"/>
          <w:sz w:val="20"/>
          <w:szCs w:val="20"/>
        </w:rPr>
        <w:t xml:space="preserve"> 2014/23/EU ze dne 26. února 2014 o udělování koncesí, </w:t>
      </w:r>
      <w:r w:rsidRPr="00445629">
        <w:rPr>
          <w:rFonts w:ascii="Arial" w:hAnsi="Arial" w:cs="Arial"/>
          <w:sz w:val="20"/>
          <w:szCs w:val="20"/>
        </w:rPr>
        <w:t>2007/66/ES ze dne 11. prosince 2007, kterou se mění směrnice Rady 89/665/EHS a 92/13/EHS, pokud jde o zvýšení účinnosti přezkumného řízení při zadávání veřejných zakázek a 2009/81/ES ze dne 13. července 2009 o koordinaci postupů při zadávání některých zakázek na stavební práce, dodávky a služby zadavateli v oblasti obrany a bezpečnosti.</w:t>
      </w:r>
    </w:p>
    <w:p w:rsidR="00B67C3B" w:rsidRPr="00445629" w:rsidRDefault="00AF6DF4" w:rsidP="00445629">
      <w:pPr>
        <w:jc w:val="both"/>
        <w:rPr>
          <w:rFonts w:ascii="Arial" w:hAnsi="Arial" w:cs="Arial"/>
          <w:b/>
          <w:color w:val="000000"/>
          <w:sz w:val="20"/>
          <w:szCs w:val="20"/>
          <w:shd w:val="clear" w:color="auto" w:fill="FFFFFF"/>
        </w:rPr>
      </w:pPr>
      <w:r w:rsidRPr="00445629">
        <w:rPr>
          <w:rFonts w:ascii="Arial" w:hAnsi="Arial" w:cs="Arial"/>
          <w:b/>
          <w:color w:val="000000"/>
          <w:sz w:val="20"/>
          <w:szCs w:val="20"/>
          <w:shd w:val="clear" w:color="auto" w:fill="FFFFFF"/>
        </w:rPr>
        <w:t xml:space="preserve">5. </w:t>
      </w:r>
      <w:r w:rsidR="00B67C3B" w:rsidRPr="00445629">
        <w:rPr>
          <w:rFonts w:ascii="Arial" w:hAnsi="Arial" w:cs="Arial"/>
          <w:b/>
          <w:color w:val="000000"/>
          <w:sz w:val="20"/>
          <w:szCs w:val="20"/>
          <w:shd w:val="clear" w:color="auto" w:fill="FFFFFF"/>
        </w:rPr>
        <w:t>Předpokládaný hospodářský a finanční dosah navrhované právní úpravy na státní rozpočet, ostatní veřejné rozpočty, na podnikatelské prostředí České republiky, dále sociální dopady, včetně dopadů na specifické skupiny obyvatel, zejména osoby sociálně slabé, osoby se zdravotním postižením a národnostní menšiny, a dopady na životní prostředí</w:t>
      </w:r>
    </w:p>
    <w:p w:rsidR="00AF6DF4" w:rsidRPr="00445629" w:rsidRDefault="00AF6DF4" w:rsidP="00445629">
      <w:pPr>
        <w:ind w:firstLine="567"/>
        <w:jc w:val="both"/>
        <w:rPr>
          <w:rFonts w:ascii="Arial" w:hAnsi="Arial" w:cs="Arial"/>
          <w:color w:val="000000"/>
          <w:sz w:val="20"/>
          <w:szCs w:val="20"/>
          <w:shd w:val="clear" w:color="auto" w:fill="FFFFFF"/>
        </w:rPr>
      </w:pPr>
      <w:r w:rsidRPr="00445629">
        <w:rPr>
          <w:rFonts w:ascii="Arial" w:hAnsi="Arial" w:cs="Arial"/>
          <w:color w:val="000000"/>
          <w:sz w:val="20"/>
          <w:szCs w:val="20"/>
          <w:shd w:val="clear" w:color="auto" w:fill="FFFFFF"/>
        </w:rPr>
        <w:t>Předpokládá se, že navrhované úpravy budou mít pozitivní dopad na státní rozpočet a ostatní veřejné rozpočty. Pozitivní dopad lze jen velmi obtížně vyčíslit. V souvislosti se zjednodušením zjednodušeného podlimitního řízení a tím se snížením administrativní náročnosti těchto řízení, lze počítat s</w:t>
      </w:r>
      <w:r w:rsidR="004A1546" w:rsidRPr="00445629">
        <w:rPr>
          <w:rFonts w:ascii="Arial" w:hAnsi="Arial" w:cs="Arial"/>
          <w:color w:val="000000"/>
          <w:sz w:val="20"/>
          <w:szCs w:val="20"/>
          <w:shd w:val="clear" w:color="auto" w:fill="FFFFFF"/>
        </w:rPr>
        <w:t xml:space="preserve"> úsporou na straně zadavatelů, neboť k administraci předmětného řízení bude potřeba méně </w:t>
      </w:r>
      <w:r w:rsidR="004A1546" w:rsidRPr="00445629">
        <w:rPr>
          <w:rFonts w:ascii="Arial" w:hAnsi="Arial" w:cs="Arial"/>
          <w:color w:val="000000"/>
          <w:sz w:val="20"/>
          <w:szCs w:val="20"/>
          <w:shd w:val="clear" w:color="auto" w:fill="FFFFFF"/>
        </w:rPr>
        <w:lastRenderedPageBreak/>
        <w:t>pracovních hodin zaměstnanců zadavatele, případně externího administrátora vybraného zadavatelem. Konkrétn</w:t>
      </w:r>
      <w:r w:rsidR="00374187" w:rsidRPr="00445629">
        <w:rPr>
          <w:rFonts w:ascii="Arial" w:hAnsi="Arial" w:cs="Arial"/>
          <w:color w:val="000000"/>
          <w:sz w:val="20"/>
          <w:szCs w:val="20"/>
          <w:shd w:val="clear" w:color="auto" w:fill="FFFFFF"/>
        </w:rPr>
        <w:t xml:space="preserve">í </w:t>
      </w:r>
      <w:r w:rsidR="004A1546" w:rsidRPr="00445629">
        <w:rPr>
          <w:rFonts w:ascii="Arial" w:hAnsi="Arial" w:cs="Arial"/>
          <w:color w:val="000000"/>
          <w:sz w:val="20"/>
          <w:szCs w:val="20"/>
          <w:shd w:val="clear" w:color="auto" w:fill="FFFFFF"/>
        </w:rPr>
        <w:t>úspory jsou podrobněji sledovány v</w:t>
      </w:r>
      <w:r w:rsidR="00C7496C" w:rsidRPr="00445629">
        <w:rPr>
          <w:rFonts w:ascii="Arial" w:hAnsi="Arial" w:cs="Arial"/>
          <w:color w:val="000000"/>
          <w:sz w:val="20"/>
          <w:szCs w:val="20"/>
          <w:shd w:val="clear" w:color="auto" w:fill="FFFFFF"/>
        </w:rPr>
        <w:t> </w:t>
      </w:r>
      <w:r w:rsidR="004A1546" w:rsidRPr="00445629">
        <w:rPr>
          <w:rFonts w:ascii="Arial" w:hAnsi="Arial" w:cs="Arial"/>
          <w:color w:val="000000"/>
          <w:sz w:val="20"/>
          <w:szCs w:val="20"/>
          <w:shd w:val="clear" w:color="auto" w:fill="FFFFFF"/>
        </w:rPr>
        <w:t>RIA</w:t>
      </w:r>
      <w:r w:rsidR="004B730F" w:rsidRPr="00445629">
        <w:rPr>
          <w:rFonts w:ascii="Arial" w:hAnsi="Arial" w:cs="Arial"/>
          <w:color w:val="000000"/>
          <w:sz w:val="20"/>
          <w:szCs w:val="20"/>
          <w:shd w:val="clear" w:color="auto" w:fill="FFFFFF"/>
        </w:rPr>
        <w:t>,</w:t>
      </w:r>
      <w:r w:rsidR="00C7496C" w:rsidRPr="00445629">
        <w:rPr>
          <w:rFonts w:ascii="Arial" w:hAnsi="Arial" w:cs="Arial"/>
          <w:color w:val="000000"/>
          <w:sz w:val="20"/>
          <w:szCs w:val="20"/>
          <w:shd w:val="clear" w:color="auto" w:fill="FFFFFF"/>
        </w:rPr>
        <w:t xml:space="preserve"> viz příloha</w:t>
      </w:r>
      <w:r w:rsidR="00374187" w:rsidRPr="00445629">
        <w:rPr>
          <w:rFonts w:ascii="Arial" w:hAnsi="Arial" w:cs="Arial"/>
          <w:color w:val="000000"/>
          <w:sz w:val="20"/>
          <w:szCs w:val="20"/>
          <w:shd w:val="clear" w:color="auto" w:fill="FFFFFF"/>
        </w:rPr>
        <w:t xml:space="preserve"> č. 1</w:t>
      </w:r>
      <w:r w:rsidR="004A1546" w:rsidRPr="00445629">
        <w:rPr>
          <w:rFonts w:ascii="Arial" w:hAnsi="Arial" w:cs="Arial"/>
          <w:color w:val="000000"/>
          <w:sz w:val="20"/>
          <w:szCs w:val="20"/>
          <w:shd w:val="clear" w:color="auto" w:fill="FFFFFF"/>
        </w:rPr>
        <w:t>.</w:t>
      </w:r>
    </w:p>
    <w:p w:rsidR="00AF6DF4" w:rsidRPr="00445629" w:rsidRDefault="004A1546" w:rsidP="00445629">
      <w:pPr>
        <w:ind w:firstLine="567"/>
        <w:jc w:val="both"/>
        <w:rPr>
          <w:rFonts w:ascii="Arial" w:hAnsi="Arial" w:cs="Arial"/>
          <w:color w:val="000000"/>
          <w:sz w:val="20"/>
          <w:szCs w:val="20"/>
          <w:shd w:val="clear" w:color="auto" w:fill="FFFFFF"/>
        </w:rPr>
      </w:pPr>
      <w:r w:rsidRPr="00445629">
        <w:rPr>
          <w:rFonts w:ascii="Arial" w:hAnsi="Arial" w:cs="Arial"/>
          <w:color w:val="000000"/>
          <w:sz w:val="20"/>
          <w:szCs w:val="20"/>
          <w:shd w:val="clear" w:color="auto" w:fill="FFFFFF"/>
        </w:rPr>
        <w:t xml:space="preserve">Pokud se týká dopadu na podnikatelské </w:t>
      </w:r>
      <w:r w:rsidR="007078CF" w:rsidRPr="00445629">
        <w:rPr>
          <w:rFonts w:ascii="Arial" w:hAnsi="Arial" w:cs="Arial"/>
          <w:color w:val="000000"/>
          <w:sz w:val="20"/>
          <w:szCs w:val="20"/>
          <w:shd w:val="clear" w:color="auto" w:fill="FFFFFF"/>
        </w:rPr>
        <w:t>prostředí</w:t>
      </w:r>
      <w:r w:rsidRPr="00445629">
        <w:rPr>
          <w:rFonts w:ascii="Arial" w:hAnsi="Arial" w:cs="Arial"/>
          <w:color w:val="000000"/>
          <w:sz w:val="20"/>
          <w:szCs w:val="20"/>
          <w:shd w:val="clear" w:color="auto" w:fill="FFFFFF"/>
        </w:rPr>
        <w:t>, lze v souvislosti se zjednodušením zjednodušeného podlimitního řízení počítat také se snížením administrativní náročnosti na straně dodavatelů veřejných zakázek a tím úsporou jak časovou</w:t>
      </w:r>
      <w:r w:rsidR="007078CF" w:rsidRPr="00445629">
        <w:rPr>
          <w:rFonts w:ascii="Arial" w:hAnsi="Arial" w:cs="Arial"/>
          <w:color w:val="000000"/>
          <w:sz w:val="20"/>
          <w:szCs w:val="20"/>
          <w:shd w:val="clear" w:color="auto" w:fill="FFFFFF"/>
        </w:rPr>
        <w:t>,</w:t>
      </w:r>
      <w:r w:rsidRPr="00445629">
        <w:rPr>
          <w:rFonts w:ascii="Arial" w:hAnsi="Arial" w:cs="Arial"/>
          <w:color w:val="000000"/>
          <w:sz w:val="20"/>
          <w:szCs w:val="20"/>
          <w:shd w:val="clear" w:color="auto" w:fill="FFFFFF"/>
        </w:rPr>
        <w:t xml:space="preserve"> tak finanční. Dále lze předpokládat, že bude-li zadávací řízení zjednodušeno</w:t>
      </w:r>
      <w:r w:rsidR="00E83AD8" w:rsidRPr="00445629">
        <w:rPr>
          <w:rFonts w:ascii="Arial" w:hAnsi="Arial" w:cs="Arial"/>
          <w:color w:val="000000"/>
          <w:sz w:val="20"/>
          <w:szCs w:val="20"/>
          <w:shd w:val="clear" w:color="auto" w:fill="FFFFFF"/>
        </w:rPr>
        <w:t>,</w:t>
      </w:r>
      <w:r w:rsidRPr="00445629">
        <w:rPr>
          <w:rFonts w:ascii="Arial" w:hAnsi="Arial" w:cs="Arial"/>
          <w:color w:val="000000"/>
          <w:sz w:val="20"/>
          <w:szCs w:val="20"/>
          <w:shd w:val="clear" w:color="auto" w:fill="FFFFFF"/>
        </w:rPr>
        <w:t xml:space="preserve"> budou o veřejné zakázky zadávané ve zjednodušeném podlimitním řízení soutěžit i menší dodavatelé, které doposud od účasti v zadávacích řízeních odrazovala jejich administrativní náročnost.</w:t>
      </w:r>
    </w:p>
    <w:p w:rsidR="00AF6DF4" w:rsidRPr="00445629" w:rsidRDefault="00AF6DF4" w:rsidP="00445629">
      <w:pPr>
        <w:ind w:firstLine="567"/>
        <w:jc w:val="both"/>
        <w:rPr>
          <w:rFonts w:ascii="Arial" w:hAnsi="Arial" w:cs="Arial"/>
          <w:color w:val="000000"/>
          <w:sz w:val="20"/>
          <w:szCs w:val="20"/>
          <w:shd w:val="clear" w:color="auto" w:fill="FFFFFF"/>
        </w:rPr>
      </w:pPr>
      <w:r w:rsidRPr="00445629">
        <w:rPr>
          <w:rFonts w:ascii="Arial" w:hAnsi="Arial" w:cs="Arial"/>
          <w:color w:val="000000"/>
          <w:sz w:val="20"/>
          <w:szCs w:val="20"/>
          <w:shd w:val="clear" w:color="auto" w:fill="FFFFFF"/>
        </w:rPr>
        <w:t xml:space="preserve">Navrhovaná právní úprava nebude mít sociální dopady, </w:t>
      </w:r>
      <w:r w:rsidR="00E83AD8" w:rsidRPr="00445629">
        <w:rPr>
          <w:rFonts w:ascii="Arial" w:hAnsi="Arial" w:cs="Arial"/>
          <w:color w:val="000000"/>
          <w:sz w:val="20"/>
          <w:szCs w:val="20"/>
          <w:shd w:val="clear" w:color="auto" w:fill="FFFFFF"/>
        </w:rPr>
        <w:t>ani dopady</w:t>
      </w:r>
      <w:r w:rsidRPr="00445629">
        <w:rPr>
          <w:rFonts w:ascii="Arial" w:hAnsi="Arial" w:cs="Arial"/>
          <w:color w:val="000000"/>
          <w:sz w:val="20"/>
          <w:szCs w:val="20"/>
          <w:shd w:val="clear" w:color="auto" w:fill="FFFFFF"/>
        </w:rPr>
        <w:t xml:space="preserve"> na specifické skupiny obyvatel, zejména osoby sociálně slabé, osoby se zdravotním postižením a národnostní menšiny, a</w:t>
      </w:r>
      <w:r w:rsidR="00E83AD8" w:rsidRPr="00445629">
        <w:rPr>
          <w:rFonts w:ascii="Arial" w:hAnsi="Arial" w:cs="Arial"/>
          <w:color w:val="000000"/>
          <w:sz w:val="20"/>
          <w:szCs w:val="20"/>
          <w:shd w:val="clear" w:color="auto" w:fill="FFFFFF"/>
        </w:rPr>
        <w:t>ni</w:t>
      </w:r>
      <w:r w:rsidRPr="00445629">
        <w:rPr>
          <w:rFonts w:ascii="Arial" w:hAnsi="Arial" w:cs="Arial"/>
          <w:color w:val="000000"/>
          <w:sz w:val="20"/>
          <w:szCs w:val="20"/>
          <w:shd w:val="clear" w:color="auto" w:fill="FFFFFF"/>
        </w:rPr>
        <w:t xml:space="preserve"> dopady na životní prostředí</w:t>
      </w:r>
      <w:r w:rsidR="007078CF" w:rsidRPr="00445629">
        <w:rPr>
          <w:rFonts w:ascii="Arial" w:hAnsi="Arial" w:cs="Arial"/>
          <w:color w:val="000000"/>
          <w:sz w:val="20"/>
          <w:szCs w:val="20"/>
          <w:shd w:val="clear" w:color="auto" w:fill="FFFFFF"/>
        </w:rPr>
        <w:t>.</w:t>
      </w:r>
    </w:p>
    <w:p w:rsidR="00FC4B2D" w:rsidRPr="00445629" w:rsidRDefault="00B12061" w:rsidP="00445629">
      <w:pPr>
        <w:pStyle w:val="Normlnweb"/>
        <w:shd w:val="clear" w:color="auto" w:fill="FFFFFF"/>
        <w:spacing w:before="384" w:beforeAutospacing="0" w:after="384" w:afterAutospacing="0" w:line="276" w:lineRule="auto"/>
        <w:jc w:val="both"/>
        <w:rPr>
          <w:rFonts w:ascii="Arial" w:eastAsiaTheme="minorHAnsi" w:hAnsi="Arial" w:cs="Arial"/>
          <w:b/>
          <w:sz w:val="20"/>
          <w:szCs w:val="20"/>
          <w:lang w:eastAsia="en-US"/>
        </w:rPr>
      </w:pPr>
      <w:r w:rsidRPr="00445629">
        <w:rPr>
          <w:rFonts w:ascii="Arial" w:eastAsiaTheme="minorHAnsi" w:hAnsi="Arial" w:cs="Arial"/>
          <w:b/>
          <w:sz w:val="20"/>
          <w:szCs w:val="20"/>
          <w:lang w:eastAsia="en-US"/>
        </w:rPr>
        <w:t>Zhodnocení současného stavu a dopadů navrhovaného řešení ve vztahu k zákazu diskriminace</w:t>
      </w:r>
    </w:p>
    <w:p w:rsidR="0099618B" w:rsidRPr="00445629" w:rsidRDefault="0099618B" w:rsidP="00445629">
      <w:pPr>
        <w:pStyle w:val="Normlnweb"/>
        <w:shd w:val="clear" w:color="auto" w:fill="FFFFFF"/>
        <w:spacing w:before="384" w:beforeAutospacing="0" w:after="384" w:afterAutospacing="0" w:line="276" w:lineRule="auto"/>
        <w:ind w:firstLine="567"/>
        <w:jc w:val="both"/>
        <w:rPr>
          <w:rFonts w:ascii="Arial" w:eastAsiaTheme="minorHAnsi" w:hAnsi="Arial" w:cs="Arial"/>
          <w:sz w:val="20"/>
          <w:szCs w:val="20"/>
          <w:lang w:eastAsia="en-US"/>
        </w:rPr>
      </w:pPr>
      <w:r w:rsidRPr="00445629">
        <w:rPr>
          <w:rFonts w:ascii="Arial" w:eastAsiaTheme="minorHAnsi" w:hAnsi="Arial" w:cs="Arial"/>
          <w:sz w:val="20"/>
          <w:szCs w:val="20"/>
          <w:lang w:eastAsia="en-US"/>
        </w:rPr>
        <w:t xml:space="preserve">Navrhovaná úprava nebude mít žádné zásadní dopady ve vztahu k zákazu diskriminace. Výše zmíněná legislativa Evropské unie </w:t>
      </w:r>
      <w:r w:rsidR="00D02D9E" w:rsidRPr="00445629">
        <w:rPr>
          <w:rFonts w:ascii="Arial" w:eastAsiaTheme="minorHAnsi" w:hAnsi="Arial" w:cs="Arial"/>
          <w:sz w:val="20"/>
          <w:szCs w:val="20"/>
          <w:lang w:eastAsia="en-US"/>
        </w:rPr>
        <w:t xml:space="preserve">vymezuje </w:t>
      </w:r>
      <w:r w:rsidRPr="00445629">
        <w:rPr>
          <w:rFonts w:ascii="Arial" w:eastAsiaTheme="minorHAnsi" w:hAnsi="Arial" w:cs="Arial"/>
          <w:sz w:val="20"/>
          <w:szCs w:val="20"/>
          <w:lang w:eastAsia="en-US"/>
        </w:rPr>
        <w:t>jako jednu ze zásad, která musí být při výběru dodavatel</w:t>
      </w:r>
      <w:r w:rsidR="00952F23" w:rsidRPr="00445629">
        <w:rPr>
          <w:rFonts w:ascii="Arial" w:eastAsiaTheme="minorHAnsi" w:hAnsi="Arial" w:cs="Arial"/>
          <w:sz w:val="20"/>
          <w:szCs w:val="20"/>
          <w:lang w:eastAsia="en-US"/>
        </w:rPr>
        <w:t>e</w:t>
      </w:r>
      <w:r w:rsidRPr="00445629">
        <w:rPr>
          <w:rFonts w:ascii="Arial" w:eastAsiaTheme="minorHAnsi" w:hAnsi="Arial" w:cs="Arial"/>
          <w:sz w:val="20"/>
          <w:szCs w:val="20"/>
          <w:lang w:eastAsia="en-US"/>
        </w:rPr>
        <w:t xml:space="preserve"> veřejn</w:t>
      </w:r>
      <w:r w:rsidR="00D469B9" w:rsidRPr="00445629">
        <w:rPr>
          <w:rFonts w:ascii="Arial" w:eastAsiaTheme="minorHAnsi" w:hAnsi="Arial" w:cs="Arial"/>
          <w:sz w:val="20"/>
          <w:szCs w:val="20"/>
          <w:lang w:eastAsia="en-US"/>
        </w:rPr>
        <w:t xml:space="preserve">é zakázky dodržena, právě </w:t>
      </w:r>
      <w:r w:rsidR="004964EC">
        <w:rPr>
          <w:rFonts w:ascii="Arial" w:eastAsiaTheme="minorHAnsi" w:hAnsi="Arial" w:cs="Arial"/>
          <w:sz w:val="20"/>
          <w:szCs w:val="20"/>
          <w:lang w:eastAsia="en-US"/>
        </w:rPr>
        <w:t>zásadu</w:t>
      </w:r>
      <w:r w:rsidRPr="00445629">
        <w:rPr>
          <w:rFonts w:ascii="Arial" w:eastAsiaTheme="minorHAnsi" w:hAnsi="Arial" w:cs="Arial"/>
          <w:sz w:val="20"/>
          <w:szCs w:val="20"/>
          <w:lang w:eastAsia="en-US"/>
        </w:rPr>
        <w:t xml:space="preserve"> zákazu diskriminace. </w:t>
      </w:r>
    </w:p>
    <w:p w:rsidR="00B12061" w:rsidRPr="00445629" w:rsidRDefault="00B12061" w:rsidP="00445629">
      <w:pPr>
        <w:pStyle w:val="Normlnweb"/>
        <w:shd w:val="clear" w:color="auto" w:fill="FFFFFF"/>
        <w:spacing w:before="384" w:beforeAutospacing="0" w:after="384" w:afterAutospacing="0" w:line="276" w:lineRule="auto"/>
        <w:jc w:val="both"/>
        <w:rPr>
          <w:rFonts w:ascii="Arial" w:eastAsiaTheme="minorHAnsi" w:hAnsi="Arial" w:cs="Arial"/>
          <w:b/>
          <w:sz w:val="20"/>
          <w:szCs w:val="20"/>
          <w:lang w:eastAsia="en-US"/>
        </w:rPr>
      </w:pPr>
      <w:r w:rsidRPr="00445629">
        <w:rPr>
          <w:rFonts w:ascii="Arial" w:eastAsiaTheme="minorHAnsi" w:hAnsi="Arial" w:cs="Arial"/>
          <w:b/>
          <w:sz w:val="20"/>
          <w:szCs w:val="20"/>
          <w:lang w:eastAsia="en-US"/>
        </w:rPr>
        <w:t>Zhodnocení dopadů navrhovaného řešení ve vztahu k ochraně soukromí a osobních údajů</w:t>
      </w:r>
    </w:p>
    <w:p w:rsidR="00B12061" w:rsidRPr="00445629" w:rsidRDefault="00B12061" w:rsidP="00445629">
      <w:pPr>
        <w:pStyle w:val="Normlnweb"/>
        <w:shd w:val="clear" w:color="auto" w:fill="FFFFFF"/>
        <w:spacing w:before="384" w:beforeAutospacing="0" w:after="384" w:afterAutospacing="0" w:line="276" w:lineRule="auto"/>
        <w:ind w:firstLine="567"/>
        <w:jc w:val="both"/>
        <w:rPr>
          <w:rFonts w:ascii="Arial" w:eastAsiaTheme="minorHAnsi" w:hAnsi="Arial" w:cs="Arial"/>
          <w:sz w:val="20"/>
          <w:szCs w:val="20"/>
          <w:lang w:eastAsia="en-US"/>
        </w:rPr>
      </w:pPr>
      <w:r w:rsidRPr="00445629">
        <w:rPr>
          <w:rFonts w:ascii="Arial" w:eastAsiaTheme="minorHAnsi" w:hAnsi="Arial" w:cs="Arial"/>
          <w:sz w:val="20"/>
          <w:szCs w:val="20"/>
          <w:lang w:eastAsia="en-US"/>
        </w:rPr>
        <w:t>Navrhované řešení nemá vztah k soukromí a osobním údajům, žádným způsobem neohrožuje soukromí, ani neukládá získávání či zpracovávání osobních údajů.</w:t>
      </w:r>
    </w:p>
    <w:p w:rsidR="00B12061" w:rsidRPr="00445629" w:rsidRDefault="00B12061" w:rsidP="00445629">
      <w:pPr>
        <w:pStyle w:val="Normlnweb"/>
        <w:shd w:val="clear" w:color="auto" w:fill="FFFFFF"/>
        <w:spacing w:before="384" w:beforeAutospacing="0" w:after="384" w:afterAutospacing="0" w:line="276" w:lineRule="auto"/>
        <w:jc w:val="both"/>
        <w:rPr>
          <w:rFonts w:ascii="Arial" w:eastAsiaTheme="minorHAnsi" w:hAnsi="Arial" w:cs="Arial"/>
          <w:b/>
          <w:sz w:val="20"/>
          <w:szCs w:val="20"/>
          <w:lang w:eastAsia="en-US"/>
        </w:rPr>
      </w:pPr>
      <w:r w:rsidRPr="00445629">
        <w:rPr>
          <w:rFonts w:ascii="Arial" w:eastAsiaTheme="minorHAnsi" w:hAnsi="Arial" w:cs="Arial"/>
          <w:b/>
          <w:sz w:val="20"/>
          <w:szCs w:val="20"/>
          <w:lang w:eastAsia="en-US"/>
        </w:rPr>
        <w:t>Zhodnocení korupčních rizik</w:t>
      </w:r>
    </w:p>
    <w:p w:rsidR="00B12061" w:rsidRPr="00445629" w:rsidRDefault="00B12061" w:rsidP="00445629">
      <w:pPr>
        <w:ind w:firstLine="567"/>
        <w:jc w:val="both"/>
        <w:rPr>
          <w:rFonts w:ascii="Arial" w:hAnsi="Arial" w:cs="Arial"/>
          <w:sz w:val="20"/>
          <w:szCs w:val="20"/>
        </w:rPr>
      </w:pPr>
      <w:r w:rsidRPr="00445629">
        <w:rPr>
          <w:rFonts w:ascii="Arial" w:hAnsi="Arial" w:cs="Arial"/>
          <w:sz w:val="20"/>
          <w:szCs w:val="20"/>
        </w:rPr>
        <w:t>Zhodnocení korupčních rizik je přílohou č.</w:t>
      </w:r>
      <w:r w:rsidR="00C7496C" w:rsidRPr="00445629">
        <w:rPr>
          <w:rFonts w:ascii="Arial" w:hAnsi="Arial" w:cs="Arial"/>
          <w:sz w:val="20"/>
          <w:szCs w:val="20"/>
        </w:rPr>
        <w:t xml:space="preserve"> </w:t>
      </w:r>
      <w:r w:rsidR="00D30386" w:rsidRPr="00445629">
        <w:rPr>
          <w:rFonts w:ascii="Arial" w:hAnsi="Arial" w:cs="Arial"/>
          <w:sz w:val="20"/>
          <w:szCs w:val="20"/>
        </w:rPr>
        <w:t>2</w:t>
      </w:r>
      <w:r w:rsidRPr="00445629">
        <w:rPr>
          <w:rFonts w:ascii="Arial" w:hAnsi="Arial" w:cs="Arial"/>
          <w:sz w:val="20"/>
          <w:szCs w:val="20"/>
        </w:rPr>
        <w:t>.</w:t>
      </w:r>
    </w:p>
    <w:p w:rsidR="00B12061" w:rsidRPr="00445629" w:rsidRDefault="00B12061" w:rsidP="00445629">
      <w:pPr>
        <w:rPr>
          <w:rFonts w:ascii="Arial" w:hAnsi="Arial" w:cs="Arial"/>
          <w:sz w:val="20"/>
          <w:szCs w:val="20"/>
        </w:rPr>
      </w:pPr>
    </w:p>
    <w:p w:rsidR="00D30386" w:rsidRPr="00445629" w:rsidRDefault="00D30386" w:rsidP="00445629">
      <w:pPr>
        <w:rPr>
          <w:rFonts w:ascii="Arial" w:hAnsi="Arial" w:cs="Arial"/>
          <w:b/>
          <w:sz w:val="20"/>
          <w:szCs w:val="20"/>
        </w:rPr>
      </w:pPr>
      <w:r w:rsidRPr="00445629">
        <w:rPr>
          <w:rFonts w:ascii="Arial" w:hAnsi="Arial" w:cs="Arial"/>
          <w:b/>
          <w:sz w:val="20"/>
          <w:szCs w:val="20"/>
        </w:rPr>
        <w:t xml:space="preserve">Přílohy: </w:t>
      </w:r>
    </w:p>
    <w:p w:rsidR="00B12061" w:rsidRPr="00445629" w:rsidRDefault="00D30386" w:rsidP="00445629">
      <w:pPr>
        <w:rPr>
          <w:rFonts w:ascii="Arial" w:hAnsi="Arial" w:cs="Arial"/>
          <w:b/>
          <w:sz w:val="20"/>
          <w:szCs w:val="20"/>
        </w:rPr>
      </w:pPr>
      <w:r w:rsidRPr="00445629">
        <w:rPr>
          <w:rFonts w:ascii="Arial" w:hAnsi="Arial" w:cs="Arial"/>
          <w:b/>
          <w:sz w:val="20"/>
          <w:szCs w:val="20"/>
        </w:rPr>
        <w:t xml:space="preserve">Příloha č. 1 </w:t>
      </w:r>
      <w:r w:rsidR="007078CF" w:rsidRPr="00445629">
        <w:rPr>
          <w:rFonts w:ascii="Arial" w:hAnsi="Arial" w:cs="Arial"/>
          <w:b/>
          <w:sz w:val="20"/>
          <w:szCs w:val="20"/>
        </w:rPr>
        <w:t>–</w:t>
      </w:r>
      <w:r w:rsidRPr="00445629">
        <w:rPr>
          <w:rFonts w:ascii="Arial" w:hAnsi="Arial" w:cs="Arial"/>
          <w:b/>
          <w:sz w:val="20"/>
          <w:szCs w:val="20"/>
        </w:rPr>
        <w:t xml:space="preserve"> </w:t>
      </w:r>
      <w:r w:rsidR="00B12061" w:rsidRPr="00445629">
        <w:rPr>
          <w:rFonts w:ascii="Arial" w:hAnsi="Arial" w:cs="Arial"/>
          <w:b/>
          <w:sz w:val="20"/>
          <w:szCs w:val="20"/>
        </w:rPr>
        <w:t>Závěrečná zpráva z hodnocení dopadů regulace</w:t>
      </w:r>
      <w:r w:rsidR="00FC4B2D" w:rsidRPr="00445629">
        <w:rPr>
          <w:rFonts w:ascii="Arial" w:hAnsi="Arial" w:cs="Arial"/>
          <w:b/>
          <w:sz w:val="20"/>
          <w:szCs w:val="20"/>
        </w:rPr>
        <w:t xml:space="preserve"> </w:t>
      </w:r>
    </w:p>
    <w:p w:rsidR="00D30386" w:rsidRPr="00445629" w:rsidRDefault="00D30386" w:rsidP="00445629">
      <w:pPr>
        <w:rPr>
          <w:rFonts w:ascii="Arial" w:hAnsi="Arial" w:cs="Arial"/>
          <w:b/>
          <w:sz w:val="20"/>
          <w:szCs w:val="20"/>
        </w:rPr>
      </w:pPr>
      <w:r w:rsidRPr="00445629">
        <w:rPr>
          <w:rFonts w:ascii="Arial" w:hAnsi="Arial" w:cs="Arial"/>
          <w:b/>
          <w:sz w:val="20"/>
          <w:szCs w:val="20"/>
        </w:rPr>
        <w:t>Příloha č. 2 – Zhodnocení korupčních rizik</w:t>
      </w:r>
    </w:p>
    <w:sectPr w:rsidR="00D30386" w:rsidRPr="00445629" w:rsidSect="00D92DF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052" w:rsidRDefault="002D6052" w:rsidP="005D78A0">
      <w:pPr>
        <w:spacing w:after="0" w:line="240" w:lineRule="auto"/>
      </w:pPr>
      <w:r>
        <w:separator/>
      </w:r>
    </w:p>
  </w:endnote>
  <w:endnote w:type="continuationSeparator" w:id="0">
    <w:p w:rsidR="002D6052" w:rsidRDefault="002D6052" w:rsidP="005D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56051"/>
      <w:docPartObj>
        <w:docPartGallery w:val="Page Numbers (Bottom of Page)"/>
        <w:docPartUnique/>
      </w:docPartObj>
    </w:sdtPr>
    <w:sdtEndPr/>
    <w:sdtContent>
      <w:p w:rsidR="005D78A0" w:rsidRDefault="001E170C">
        <w:pPr>
          <w:pStyle w:val="Zpat"/>
          <w:jc w:val="center"/>
        </w:pPr>
        <w:r>
          <w:fldChar w:fldCharType="begin"/>
        </w:r>
        <w:r w:rsidR="005D78A0">
          <w:instrText>PAGE   \* MERGEFORMAT</w:instrText>
        </w:r>
        <w:r>
          <w:fldChar w:fldCharType="separate"/>
        </w:r>
        <w:r w:rsidR="002168D9">
          <w:rPr>
            <w:noProof/>
          </w:rPr>
          <w:t>2</w:t>
        </w:r>
        <w:r>
          <w:fldChar w:fldCharType="end"/>
        </w:r>
      </w:p>
    </w:sdtContent>
  </w:sdt>
  <w:p w:rsidR="005D78A0" w:rsidRDefault="005D78A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052" w:rsidRDefault="002D6052" w:rsidP="005D78A0">
      <w:pPr>
        <w:spacing w:after="0" w:line="240" w:lineRule="auto"/>
      </w:pPr>
      <w:r>
        <w:separator/>
      </w:r>
    </w:p>
  </w:footnote>
  <w:footnote w:type="continuationSeparator" w:id="0">
    <w:p w:rsidR="002D6052" w:rsidRDefault="002D6052" w:rsidP="005D7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A0" w:rsidRPr="00A4063B" w:rsidRDefault="00A4063B">
    <w:pPr>
      <w:pStyle w:val="Zhlav"/>
      <w:rPr>
        <w:b/>
      </w:rPr>
    </w:pPr>
    <w:r>
      <w:tab/>
    </w:r>
    <w:r>
      <w:tab/>
    </w:r>
    <w:r w:rsidRPr="00A4063B">
      <w:rPr>
        <w:b/>
      </w:rPr>
      <w:t>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31250"/>
    <w:multiLevelType w:val="singleLevel"/>
    <w:tmpl w:val="0A2C9DDC"/>
    <w:lvl w:ilvl="0">
      <w:start w:val="1"/>
      <w:numFmt w:val="lowerLetter"/>
      <w:pStyle w:val="Nadpis2"/>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61"/>
    <w:rsid w:val="000234F2"/>
    <w:rsid w:val="00073BFE"/>
    <w:rsid w:val="000934B3"/>
    <w:rsid w:val="000B77D2"/>
    <w:rsid w:val="00100547"/>
    <w:rsid w:val="001022F4"/>
    <w:rsid w:val="00173B4E"/>
    <w:rsid w:val="00195CD3"/>
    <w:rsid w:val="001C7FC5"/>
    <w:rsid w:val="001E170C"/>
    <w:rsid w:val="002028AB"/>
    <w:rsid w:val="002168D9"/>
    <w:rsid w:val="00223454"/>
    <w:rsid w:val="00241982"/>
    <w:rsid w:val="00253733"/>
    <w:rsid w:val="00254389"/>
    <w:rsid w:val="0027580F"/>
    <w:rsid w:val="0027605F"/>
    <w:rsid w:val="002D6052"/>
    <w:rsid w:val="002E53EB"/>
    <w:rsid w:val="00307BC6"/>
    <w:rsid w:val="0032085F"/>
    <w:rsid w:val="003319F0"/>
    <w:rsid w:val="003631DE"/>
    <w:rsid w:val="00374187"/>
    <w:rsid w:val="003A49D8"/>
    <w:rsid w:val="003B28AF"/>
    <w:rsid w:val="003C37F9"/>
    <w:rsid w:val="003F589B"/>
    <w:rsid w:val="0040414C"/>
    <w:rsid w:val="00432530"/>
    <w:rsid w:val="00433EAE"/>
    <w:rsid w:val="00445629"/>
    <w:rsid w:val="00445CFB"/>
    <w:rsid w:val="004964EC"/>
    <w:rsid w:val="004A1004"/>
    <w:rsid w:val="004A1546"/>
    <w:rsid w:val="004A5D31"/>
    <w:rsid w:val="004B414F"/>
    <w:rsid w:val="004B730F"/>
    <w:rsid w:val="004C4B01"/>
    <w:rsid w:val="004E2199"/>
    <w:rsid w:val="004E5F47"/>
    <w:rsid w:val="004F33E6"/>
    <w:rsid w:val="00522EC0"/>
    <w:rsid w:val="00527256"/>
    <w:rsid w:val="00554970"/>
    <w:rsid w:val="005764C1"/>
    <w:rsid w:val="00584BC6"/>
    <w:rsid w:val="0058665F"/>
    <w:rsid w:val="00593D0D"/>
    <w:rsid w:val="005D78A0"/>
    <w:rsid w:val="0066504C"/>
    <w:rsid w:val="006A15DB"/>
    <w:rsid w:val="006B6ED8"/>
    <w:rsid w:val="006C3AAF"/>
    <w:rsid w:val="007078CF"/>
    <w:rsid w:val="007506DB"/>
    <w:rsid w:val="00813856"/>
    <w:rsid w:val="0088267B"/>
    <w:rsid w:val="008B106F"/>
    <w:rsid w:val="008E5103"/>
    <w:rsid w:val="008E5B7A"/>
    <w:rsid w:val="00910C25"/>
    <w:rsid w:val="00952F23"/>
    <w:rsid w:val="0095784E"/>
    <w:rsid w:val="0098655E"/>
    <w:rsid w:val="0099618B"/>
    <w:rsid w:val="009A63F7"/>
    <w:rsid w:val="009E10A7"/>
    <w:rsid w:val="00A4063B"/>
    <w:rsid w:val="00A74CBD"/>
    <w:rsid w:val="00AA4949"/>
    <w:rsid w:val="00AC2F84"/>
    <w:rsid w:val="00AF6DF4"/>
    <w:rsid w:val="00B12061"/>
    <w:rsid w:val="00B12234"/>
    <w:rsid w:val="00B67C3B"/>
    <w:rsid w:val="00BB155A"/>
    <w:rsid w:val="00BF78EE"/>
    <w:rsid w:val="00C177F9"/>
    <w:rsid w:val="00C46553"/>
    <w:rsid w:val="00C54C77"/>
    <w:rsid w:val="00C7496C"/>
    <w:rsid w:val="00C86B51"/>
    <w:rsid w:val="00CC10C4"/>
    <w:rsid w:val="00D02D9E"/>
    <w:rsid w:val="00D30386"/>
    <w:rsid w:val="00D4294B"/>
    <w:rsid w:val="00D469B9"/>
    <w:rsid w:val="00D71CDC"/>
    <w:rsid w:val="00D80436"/>
    <w:rsid w:val="00D92DF9"/>
    <w:rsid w:val="00DF42F8"/>
    <w:rsid w:val="00DF45D1"/>
    <w:rsid w:val="00E83AD8"/>
    <w:rsid w:val="00EB0DAA"/>
    <w:rsid w:val="00EB35C5"/>
    <w:rsid w:val="00EC3167"/>
    <w:rsid w:val="00ED7A03"/>
    <w:rsid w:val="00F106CA"/>
    <w:rsid w:val="00F56764"/>
    <w:rsid w:val="00FC4B2D"/>
    <w:rsid w:val="00FE3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B12061"/>
    <w:pPr>
      <w:keepNext/>
      <w:numPr>
        <w:numId w:val="1"/>
      </w:numPr>
      <w:spacing w:before="240" w:after="240" w:line="240" w:lineRule="auto"/>
      <w:outlineLvl w:val="1"/>
    </w:pPr>
    <w:rPr>
      <w:rFonts w:ascii="Arial" w:eastAsia="Times New Roman" w:hAnsi="Arial" w:cs="Times New Roman"/>
      <w:b/>
      <w:i/>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12061"/>
    <w:rPr>
      <w:rFonts w:ascii="Arial" w:eastAsia="Times New Roman" w:hAnsi="Arial" w:cs="Times New Roman"/>
      <w:b/>
      <w:i/>
      <w:sz w:val="32"/>
      <w:szCs w:val="20"/>
      <w:lang w:eastAsia="cs-CZ"/>
    </w:rPr>
  </w:style>
  <w:style w:type="paragraph" w:styleId="Normlnweb">
    <w:name w:val="Normal (Web)"/>
    <w:basedOn w:val="Normln"/>
    <w:uiPriority w:val="99"/>
    <w:unhideWhenUsed/>
    <w:rsid w:val="00B12061"/>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B12061"/>
    <w:rPr>
      <w:sz w:val="16"/>
      <w:szCs w:val="16"/>
    </w:rPr>
  </w:style>
  <w:style w:type="paragraph" w:styleId="Textkomente">
    <w:name w:val="annotation text"/>
    <w:basedOn w:val="Normln"/>
    <w:link w:val="TextkomenteChar"/>
    <w:uiPriority w:val="99"/>
    <w:semiHidden/>
    <w:unhideWhenUsed/>
    <w:rsid w:val="00B12061"/>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B1206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120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2061"/>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FC4B2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C4B2D"/>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5D78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78A0"/>
  </w:style>
  <w:style w:type="paragraph" w:styleId="Zpat">
    <w:name w:val="footer"/>
    <w:basedOn w:val="Normln"/>
    <w:link w:val="ZpatChar"/>
    <w:uiPriority w:val="99"/>
    <w:unhideWhenUsed/>
    <w:rsid w:val="005D78A0"/>
    <w:pPr>
      <w:tabs>
        <w:tab w:val="center" w:pos="4536"/>
        <w:tab w:val="right" w:pos="9072"/>
      </w:tabs>
      <w:spacing w:after="0" w:line="240" w:lineRule="auto"/>
    </w:pPr>
  </w:style>
  <w:style w:type="character" w:customStyle="1" w:styleId="ZpatChar">
    <w:name w:val="Zápatí Char"/>
    <w:basedOn w:val="Standardnpsmoodstavce"/>
    <w:link w:val="Zpat"/>
    <w:uiPriority w:val="99"/>
    <w:rsid w:val="005D78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B12061"/>
    <w:pPr>
      <w:keepNext/>
      <w:numPr>
        <w:numId w:val="1"/>
      </w:numPr>
      <w:spacing w:before="240" w:after="240" w:line="240" w:lineRule="auto"/>
      <w:outlineLvl w:val="1"/>
    </w:pPr>
    <w:rPr>
      <w:rFonts w:ascii="Arial" w:eastAsia="Times New Roman" w:hAnsi="Arial" w:cs="Times New Roman"/>
      <w:b/>
      <w:i/>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12061"/>
    <w:rPr>
      <w:rFonts w:ascii="Arial" w:eastAsia="Times New Roman" w:hAnsi="Arial" w:cs="Times New Roman"/>
      <w:b/>
      <w:i/>
      <w:sz w:val="32"/>
      <w:szCs w:val="20"/>
      <w:lang w:eastAsia="cs-CZ"/>
    </w:rPr>
  </w:style>
  <w:style w:type="paragraph" w:styleId="Normlnweb">
    <w:name w:val="Normal (Web)"/>
    <w:basedOn w:val="Normln"/>
    <w:uiPriority w:val="99"/>
    <w:unhideWhenUsed/>
    <w:rsid w:val="00B12061"/>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B12061"/>
    <w:rPr>
      <w:sz w:val="16"/>
      <w:szCs w:val="16"/>
    </w:rPr>
  </w:style>
  <w:style w:type="paragraph" w:styleId="Textkomente">
    <w:name w:val="annotation text"/>
    <w:basedOn w:val="Normln"/>
    <w:link w:val="TextkomenteChar"/>
    <w:uiPriority w:val="99"/>
    <w:semiHidden/>
    <w:unhideWhenUsed/>
    <w:rsid w:val="00B12061"/>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B1206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120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2061"/>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FC4B2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C4B2D"/>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5D78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78A0"/>
  </w:style>
  <w:style w:type="paragraph" w:styleId="Zpat">
    <w:name w:val="footer"/>
    <w:basedOn w:val="Normln"/>
    <w:link w:val="ZpatChar"/>
    <w:uiPriority w:val="99"/>
    <w:unhideWhenUsed/>
    <w:rsid w:val="005D78A0"/>
    <w:pPr>
      <w:tabs>
        <w:tab w:val="center" w:pos="4536"/>
        <w:tab w:val="right" w:pos="9072"/>
      </w:tabs>
      <w:spacing w:after="0" w:line="240" w:lineRule="auto"/>
    </w:pPr>
  </w:style>
  <w:style w:type="character" w:customStyle="1" w:styleId="ZpatChar">
    <w:name w:val="Zápatí Char"/>
    <w:basedOn w:val="Standardnpsmoodstavce"/>
    <w:link w:val="Zpat"/>
    <w:uiPriority w:val="99"/>
    <w:rsid w:val="005D7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EDC50BDB5F42B28EAD9BAD461D29" ma:contentTypeVersion="0" ma:contentTypeDescription="Vytvořit nový dokument" ma:contentTypeScope="" ma:versionID="cb637e52183a58394b8a3f85acbd9b53">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66737-E6F2-4CD2-ABA3-EB2D193CF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8A2EE4-601E-490E-AE70-27981EF98CE0}">
  <ds:schemaRefs>
    <ds:schemaRef ds:uri="http://schemas.microsoft.com/office/2006/metadata/properties"/>
  </ds:schemaRefs>
</ds:datastoreItem>
</file>

<file path=customXml/itemProps3.xml><?xml version="1.0" encoding="utf-8"?>
<ds:datastoreItem xmlns:ds="http://schemas.openxmlformats.org/officeDocument/2006/customXml" ds:itemID="{8F2173C2-0B5F-4A03-9166-82905808A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4071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Vondráček Jiří</dc:creator>
  <cp:lastModifiedBy>Klímová Michaela</cp:lastModifiedBy>
  <cp:revision>2</cp:revision>
  <cp:lastPrinted>2014-04-29T14:04:00Z</cp:lastPrinted>
  <dcterms:created xsi:type="dcterms:W3CDTF">2014-05-07T12:50:00Z</dcterms:created>
  <dcterms:modified xsi:type="dcterms:W3CDTF">2014-05-07T12:50:00Z</dcterms:modified>
</cp:coreProperties>
</file>