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0C" w:rsidRDefault="00EE533D">
      <w:bookmarkStart w:id="0" w:name="_GoBack"/>
      <w:bookmarkEnd w:id="0"/>
      <w:proofErr w:type="gramStart"/>
      <w:r>
        <w:t>Důvodová  zpráva</w:t>
      </w:r>
      <w:proofErr w:type="gramEnd"/>
    </w:p>
    <w:p w:rsidR="00EE533D" w:rsidRDefault="00EE533D"/>
    <w:p w:rsidR="00EE533D" w:rsidRPr="007F3D2B" w:rsidRDefault="00EE533D" w:rsidP="00EE533D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F3D2B">
        <w:rPr>
          <w:rFonts w:ascii="Arial" w:hAnsi="Arial" w:cs="Arial"/>
          <w:sz w:val="20"/>
          <w:szCs w:val="20"/>
        </w:rPr>
        <w:t xml:space="preserve">V souvislosti s přijetím tří evropských směrnic regulujících oblast veřejného zadávání (Směrnice o zadávání veřejných zakázek 2014/24/EU, Směrnice o zadávání veřejných zakázek subjekty působícími v odvětví vodního hospodářství, energetiky, dopravy a poštovních služeb 2014/25/EU a Směrnice o udělování koncesí 2014/23/EU) bude nezbytné jejich obsah během následujících dvou let transponovat do vnitrostátního právního řádu. </w:t>
      </w:r>
    </w:p>
    <w:p w:rsidR="00EE533D" w:rsidRPr="007F3D2B" w:rsidRDefault="00EE533D" w:rsidP="00EE533D">
      <w:pPr>
        <w:pStyle w:val="Normlnweb"/>
        <w:spacing w:before="120" w:beforeAutospacing="0" w:after="0" w:afterAutospacing="0" w:line="276" w:lineRule="aut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7F3D2B">
        <w:rPr>
          <w:rFonts w:ascii="Arial" w:hAnsi="Arial" w:cs="Arial"/>
          <w:sz w:val="20"/>
          <w:szCs w:val="20"/>
        </w:rPr>
        <w:t>Nové směrnice obsahují množství zásadních změn, jejichž transpozice do vnitrostátního právního řádu si vyžádá vznik zcela nového zákona o veřejných zakázkách (dále jen „NZVZ“), neboť zakotvení nových pravidel do stávajícího zákona by si vyžádalo</w:t>
      </w:r>
      <w:r w:rsidRPr="007F3D2B">
        <w:rPr>
          <w:rStyle w:val="apple-converted-space"/>
          <w:rFonts w:ascii="Arial" w:hAnsi="Arial" w:cs="Arial"/>
          <w:sz w:val="20"/>
          <w:szCs w:val="20"/>
        </w:rPr>
        <w:t xml:space="preserve"> zásadní zásahy do textu i systematiky zákona a i za vynaložení maximální snahy o vytvoření kvalitního předpisu by pravděpodobně vedlo k velké nepřehlednosti a nesrozumitelnosti právní úpravy.</w:t>
      </w:r>
    </w:p>
    <w:p w:rsidR="00EE533D" w:rsidRPr="007F3D2B" w:rsidRDefault="00EE533D" w:rsidP="00EE533D">
      <w:pPr>
        <w:pStyle w:val="Normlnweb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3D2B">
        <w:rPr>
          <w:rStyle w:val="apple-converted-space"/>
          <w:rFonts w:ascii="Arial" w:hAnsi="Arial" w:cs="Arial"/>
          <w:sz w:val="20"/>
          <w:szCs w:val="20"/>
        </w:rPr>
        <w:t xml:space="preserve">Prostřednictvím zákona </w:t>
      </w:r>
      <w:r w:rsidRPr="007F3D2B">
        <w:rPr>
          <w:rFonts w:ascii="Arial" w:hAnsi="Arial" w:cs="Arial"/>
          <w:sz w:val="20"/>
          <w:szCs w:val="20"/>
        </w:rPr>
        <w:t xml:space="preserve">č. 137/2006 Sb., o veřejných zakázkách (dále jen „ZVZ“), který je nyní účinný a má být nahrazen novou právní úpravou, jsou však regulovány i oblasti, na které směrnice nedopadají, a jejich úprava je tedy plně v kompetenci členských států. Mezi tyto oblasti patří především regulace procesu zadávání podlimitních veřejných zakázek. Dále pak je členským státům umožněno, nedojde-li k přímému konfliktu s pravidly stanovenými ve směrnicích, stanovit oproti směrnicím přísnější postupy. </w:t>
      </w:r>
    </w:p>
    <w:p w:rsidR="00EE533D" w:rsidRDefault="00EE533D" w:rsidP="00EE533D">
      <w:r w:rsidRPr="007F3D2B">
        <w:rPr>
          <w:rFonts w:ascii="Arial" w:hAnsi="Arial" w:cs="Arial"/>
          <w:sz w:val="20"/>
          <w:szCs w:val="20"/>
        </w:rPr>
        <w:t>Současná právní úprava stanoví přísná a podrobná pravidla pro postup ve zjednodušeném podlimitním řízení, ve kterém je možné zadávat všechny podlimitní veřejné zakázky na dodávky a služby, a podlimitní veřejné zakázky na stavební práce, v případě, že jejich předpokládaná hodnota nedosahuje limitu 10 mil. Kč bez DPH. V tomto druhu řízení bylo v loňském roce, dle údajů vyplývajících z Věstníku veřejných zakázek, zadáváno přes 40 % z celkového počtu veřejných zakázek, jejichž hodnota představovala téměř 8 % hodnoty všech veřejných zakázek evidovaných ve Věstníku veřejných zakázek.  Zadavateli je v případě podlimitních veřejných zakázek také ponechána možnost postupovat v přísnějším režimu, tedy v otevřeném řízení. Zjednodušené podlimitní řízení (dále jen „ZPŘ“) prošlo od přijetí ZVZ řadou podstatných změn, které navzdory názvu řízení činí toto řízení téměř stejně administrativně náročným jako je tomu u otevřeného řízení. Přijetí nového zákona je tedy příležitostí k revizi ZPŘ tak, aby se stalo skutečně jednoduchým, administrativně a časově nenáročným řízením, které bude zároveň dostatečně transparentní a bude tak zaručovat hospodářskou soutěž. Podrobné návrhy k úpravě ZPŘ uvádíme níže.</w:t>
      </w:r>
    </w:p>
    <w:sectPr w:rsidR="00EE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3D"/>
    <w:rsid w:val="00835A0C"/>
    <w:rsid w:val="00EE533D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E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E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Klímová Michaela</cp:lastModifiedBy>
  <cp:revision>2</cp:revision>
  <dcterms:created xsi:type="dcterms:W3CDTF">2014-05-07T12:50:00Z</dcterms:created>
  <dcterms:modified xsi:type="dcterms:W3CDTF">2014-05-07T12:50:00Z</dcterms:modified>
</cp:coreProperties>
</file>