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7E988" w14:textId="77777777" w:rsidR="009F711A" w:rsidRPr="009F711A" w:rsidRDefault="009F711A" w:rsidP="009F711A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D26C413" w14:textId="77777777" w:rsidR="009F711A" w:rsidRPr="009F711A" w:rsidRDefault="009F711A" w:rsidP="009F711A">
      <w:pPr>
        <w:spacing w:after="7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F711A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9F711A">
        <w:rPr>
          <w:rFonts w:ascii="Arial" w:eastAsia="Times New Roman" w:hAnsi="Arial" w:cs="Arial"/>
          <w:i/>
          <w:lang w:eastAsia="cs-CZ"/>
        </w:rPr>
        <w:t xml:space="preserve"> </w:t>
      </w:r>
    </w:p>
    <w:p w14:paraId="433CD32F" w14:textId="77777777" w:rsidR="009F711A" w:rsidRPr="009F711A" w:rsidRDefault="009F711A" w:rsidP="009F711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F7E9A74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06F80898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46E6863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AA78E82" w14:textId="4390CC91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F711A">
        <w:rPr>
          <w:rFonts w:ascii="Arial" w:hAnsi="Arial" w:cs="Arial"/>
          <w:sz w:val="24"/>
          <w:szCs w:val="24"/>
        </w:rPr>
        <w:t xml:space="preserve">náměstkem hejtmana na základě usnesení </w:t>
      </w:r>
      <w:r>
        <w:rPr>
          <w:rFonts w:ascii="Arial" w:hAnsi="Arial" w:cs="Arial"/>
          <w:sz w:val="24"/>
          <w:szCs w:val="24"/>
        </w:rPr>
        <w:t>Zastupitelstva</w:t>
      </w:r>
      <w:r w:rsidRPr="009F711A">
        <w:rPr>
          <w:rFonts w:ascii="Arial" w:hAnsi="Arial" w:cs="Arial"/>
          <w:sz w:val="24"/>
          <w:szCs w:val="24"/>
        </w:rPr>
        <w:t xml:space="preserve"> Olomoucké</w:t>
      </w:r>
      <w:r>
        <w:rPr>
          <w:rFonts w:ascii="Arial" w:hAnsi="Arial" w:cs="Arial"/>
          <w:sz w:val="24"/>
          <w:szCs w:val="24"/>
        </w:rPr>
        <w:t xml:space="preserve">ho kraje </w:t>
      </w:r>
      <w:r w:rsidRPr="009F711A">
        <w:rPr>
          <w:rFonts w:ascii="Arial" w:hAnsi="Arial" w:cs="Arial"/>
          <w:sz w:val="24"/>
          <w:szCs w:val="24"/>
        </w:rPr>
        <w:t>č. UZ/………… ze dne ……………</w:t>
      </w:r>
    </w:p>
    <w:p w14:paraId="1912E479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9F711A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04D3C83B" w14:textId="77777777" w:rsidR="009F711A" w:rsidRPr="009F711A" w:rsidRDefault="009F711A" w:rsidP="009F711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BB543D8" w14:textId="77777777" w:rsidR="009F711A" w:rsidRPr="009F711A" w:rsidRDefault="009F711A" w:rsidP="009F711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F711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3F88918" w14:textId="77777777" w:rsidR="009F711A" w:rsidRPr="009F711A" w:rsidRDefault="009F711A" w:rsidP="009F711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0B0061A" w14:textId="77777777" w:rsidR="009F711A" w:rsidRPr="009F711A" w:rsidRDefault="009F711A" w:rsidP="009F711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BE70FFA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A5CBF76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2A034F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F711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F711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DCDC7B0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(označení osoby, která bude smlouvu podepisovat, tj. statutární orgán, osoba určená vnitřními organizačními předpisy právnické osoby nebo pověřením statutárního orgánu, příp. jiná osoba 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br/>
        <w:t>na základě plné moci udělené statutárním orgánem)</w:t>
      </w:r>
    </w:p>
    <w:p w14:paraId="0A728A8D" w14:textId="77777777" w:rsidR="009F711A" w:rsidRPr="009F711A" w:rsidRDefault="009F711A" w:rsidP="009F71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bookmarkStart w:id="0" w:name="_GoBack"/>
      <w:bookmarkEnd w:id="0"/>
    </w:p>
    <w:p w14:paraId="6739EE01" w14:textId="77777777" w:rsidR="009F711A" w:rsidRPr="009F711A" w:rsidRDefault="009F711A" w:rsidP="009F711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46C91B4" w14:textId="77777777" w:rsidR="009F711A" w:rsidRPr="009F711A" w:rsidRDefault="009F711A" w:rsidP="009F711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F711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41E6B1A" w14:textId="77777777" w:rsidR="009F711A" w:rsidRPr="009F711A" w:rsidRDefault="009F711A" w:rsidP="009F711A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DFF8D93" w14:textId="77777777" w:rsidR="009F711A" w:rsidRPr="009F711A" w:rsidRDefault="009F711A" w:rsidP="009F711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FE72508" w14:textId="77777777" w:rsidR="009F711A" w:rsidRPr="009F711A" w:rsidRDefault="009F711A" w:rsidP="009F711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 víceleté podpory pravidelné sportovní činnosti subjektů, jejichž sportovní činnost je velmi významná pro Olomoucký kraj a je opakovaně každoročně výrazně podporována ze strany Olomouckého kraje. Jde o cílenou podporu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pravidelně se opakující celoroční sportovní činnosti střešních sportovních organizací,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 humanitární podporu fyzických osob, které se účastnily olympijských her jako reprezentanti Československa, České republiky a mají trvalé bydliště v regionu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Olomouckého kraje a na služby spojené s podporovanou sportovní činností. Jedná se o podporu jejich činnosti v následujících třech letech.</w:t>
      </w:r>
    </w:p>
    <w:p w14:paraId="51847B92" w14:textId="77777777" w:rsidR="009F711A" w:rsidRPr="009F711A" w:rsidRDefault="009F711A" w:rsidP="009F711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>částečná úhrada výdajů na činnost/celoroční činnost ………………… (dále také jen „činnost“)</w:t>
      </w:r>
      <w:r w:rsidRPr="009F711A">
        <w:rPr>
          <w:rFonts w:ascii="Arial" w:hAnsi="Arial" w:cs="Arial"/>
          <w:bCs/>
          <w:sz w:val="24"/>
          <w:szCs w:val="24"/>
        </w:rPr>
        <w:t xml:space="preserve"> příjemce v následujících třech letech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. Cílem projektu je podpora pravidelně se opakující celoroční sportovní činnosti střešních sportovních organizací, na humanitární podporu fyzických osob, které se účastnily olympijských her jako reprezentanti Československa, České republiky a mají trvalé bydliště v regionu Olomouckého kraje a na služby spojené s podporovanou sportovní činností (dále také „činnost“ nebo „projekt“). </w:t>
      </w:r>
    </w:p>
    <w:p w14:paraId="62857DCF" w14:textId="77777777" w:rsidR="009F711A" w:rsidRPr="009F711A" w:rsidRDefault="009F711A" w:rsidP="00C155AD">
      <w:pPr>
        <w:numPr>
          <w:ilvl w:val="0"/>
          <w:numId w:val="16"/>
        </w:numPr>
        <w:spacing w:afterLines="5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nabytí účinnosti této smlouvy, následovně: </w:t>
      </w:r>
    </w:p>
    <w:p w14:paraId="36384C03" w14:textId="77777777" w:rsidR="009F711A" w:rsidRPr="009F711A" w:rsidRDefault="009F711A" w:rsidP="00C155AD">
      <w:pPr>
        <w:pStyle w:val="Odstavecseseznamem"/>
        <w:spacing w:before="120" w:afterLines="50" w:after="120"/>
        <w:ind w:left="567" w:firstLine="0"/>
        <w:rPr>
          <w:rFonts w:ascii="Arial" w:hAnsi="Arial" w:cs="Arial"/>
          <w:sz w:val="24"/>
          <w:szCs w:val="24"/>
        </w:rPr>
      </w:pPr>
      <w:r w:rsidRPr="009F711A">
        <w:rPr>
          <w:rFonts w:ascii="Arial" w:hAnsi="Arial" w:cs="Arial"/>
          <w:sz w:val="24"/>
          <w:szCs w:val="24"/>
        </w:rPr>
        <w:t xml:space="preserve">1. část dotace, určené pro rok 2022, bude poskytnuta nejpozději do 21 dnů </w:t>
      </w:r>
      <w:r w:rsidRPr="009F711A">
        <w:rPr>
          <w:rFonts w:ascii="Arial" w:hAnsi="Arial" w:cs="Arial"/>
          <w:sz w:val="24"/>
          <w:szCs w:val="24"/>
        </w:rPr>
        <w:br/>
        <w:t>ode dne nabytí účinnosti této smlouvy ve výši 1/3 celkové schválené dotace.</w:t>
      </w:r>
    </w:p>
    <w:p w14:paraId="28C8D274" w14:textId="77777777" w:rsidR="009F711A" w:rsidRPr="009F711A" w:rsidRDefault="009F711A" w:rsidP="00C155AD">
      <w:pPr>
        <w:pStyle w:val="Odstavecseseznamem"/>
        <w:spacing w:before="120"/>
        <w:ind w:left="567" w:firstLine="0"/>
        <w:rPr>
          <w:rFonts w:ascii="Arial" w:hAnsi="Arial" w:cs="Arial"/>
          <w:sz w:val="24"/>
          <w:szCs w:val="24"/>
        </w:rPr>
      </w:pPr>
      <w:r w:rsidRPr="009F711A">
        <w:rPr>
          <w:rFonts w:ascii="Arial" w:hAnsi="Arial" w:cs="Arial"/>
          <w:sz w:val="24"/>
          <w:szCs w:val="24"/>
        </w:rPr>
        <w:t>2. část dotace, určené pro rok 2023, bude poskytnuta nejpozději do 28. 2. 2023 ve výši 1/3 celkové schválené dotace.</w:t>
      </w:r>
    </w:p>
    <w:p w14:paraId="3B3E6AEE" w14:textId="77777777" w:rsidR="009F711A" w:rsidRPr="009F711A" w:rsidRDefault="009F711A" w:rsidP="00C155AD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9F711A">
        <w:rPr>
          <w:rFonts w:ascii="Arial" w:hAnsi="Arial" w:cs="Arial"/>
          <w:sz w:val="24"/>
          <w:szCs w:val="24"/>
        </w:rPr>
        <w:t>3. část dotace, určené pro rok 2024, bude poskytnuta nejpozději do 29. 2. 2024 ve výši 1/3 celkové schválené dotace.</w:t>
      </w:r>
    </w:p>
    <w:p w14:paraId="64990E8A" w14:textId="77777777" w:rsidR="009F711A" w:rsidRPr="009F711A" w:rsidRDefault="009F711A" w:rsidP="00C155AD">
      <w:pPr>
        <w:spacing w:afterLines="5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br/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9F711A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5ECFBB6B" w14:textId="77777777" w:rsidR="009F711A" w:rsidRPr="009F711A" w:rsidRDefault="009F711A" w:rsidP="00C155AD">
      <w:pPr>
        <w:numPr>
          <w:ilvl w:val="0"/>
          <w:numId w:val="16"/>
        </w:numPr>
        <w:spacing w:afterLines="50"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F71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55D84D" w14:textId="77777777" w:rsidR="009F711A" w:rsidRPr="009F711A" w:rsidRDefault="009F711A" w:rsidP="009F711A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257F969" w14:textId="77777777" w:rsidR="009F711A" w:rsidRPr="009F711A" w:rsidRDefault="009F711A" w:rsidP="009F711A">
      <w:pPr>
        <w:numPr>
          <w:ilvl w:val="0"/>
          <w:numId w:val="17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586/1992 Sb., o daních z příjmů, ve znění pozdějších předpisů (dále jen „cit.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407F926" w14:textId="77777777" w:rsidR="009F711A" w:rsidRPr="009F711A" w:rsidRDefault="009F711A" w:rsidP="009F711A">
      <w:pPr>
        <w:numPr>
          <w:ilvl w:val="0"/>
          <w:numId w:val="17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50EE15FF" w14:textId="77777777" w:rsidR="009F711A" w:rsidRPr="009F711A" w:rsidRDefault="009F711A" w:rsidP="009F711A">
      <w:pPr>
        <w:numPr>
          <w:ilvl w:val="0"/>
          <w:numId w:val="17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 smyslu § 33 cit.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CEC6C1" w14:textId="77777777" w:rsidR="009F711A" w:rsidRPr="009F711A" w:rsidRDefault="009F711A" w:rsidP="009F711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FABC244" w14:textId="77777777" w:rsidR="009F711A" w:rsidRPr="009F711A" w:rsidRDefault="009F711A" w:rsidP="009F711A">
      <w:pPr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Víceletá podpora v oblasti sportu pro dotační titul 2 Víceletá podpora sportovní činnosti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4B48709C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3514FC92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012A3619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B6A1461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3F9CA907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 jeho právo uplatnit odpočet DPH při registraci podle § 79 ZDPH se vztahuje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na zdanitelná plnění hrazená včetně příslušné DPH z dotace, je příjemce povinen snížit výši dosud čerpané dotace o výši daně z přidané hodnoty, kterou je příjemce oprávněn v souladu § 79 ZDPH uplatnit v prvním daňovém přiznání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po registraci k DPH.</w:t>
      </w:r>
    </w:p>
    <w:p w14:paraId="780D4409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2FF80CF3" w14:textId="77777777" w:rsidR="009F711A" w:rsidRPr="009F711A" w:rsidRDefault="009F711A" w:rsidP="009F711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5A158D88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7E390A6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F711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F711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F711A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Pr="009F711A">
        <w:rPr>
          <w:rFonts w:ascii="Arial" w:hAnsi="Arial" w:cs="Arial"/>
          <w:bCs/>
          <w:sz w:val="24"/>
          <w:szCs w:val="24"/>
          <w:lang w:eastAsia="cs-CZ"/>
        </w:rPr>
        <w:br/>
        <w:t xml:space="preserve">a bankovní výpis. V případě, že příjemce dotace nepředloží tyto podklady, </w:t>
      </w:r>
      <w:r w:rsidRPr="009F711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F711A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030D58B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2C7D19E7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65775AE" w14:textId="77777777" w:rsidR="009F711A" w:rsidRPr="009F711A" w:rsidRDefault="009F711A" w:rsidP="009F711A">
      <w:pPr>
        <w:spacing w:after="120"/>
        <w:ind w:left="14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2.    Příjemce je povinen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použít poskytnutou dotaci nejpozději do: </w:t>
      </w:r>
    </w:p>
    <w:p w14:paraId="744A67FA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1. část poskytnuté dotac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>e od 1. 1. 2022 nejpozději do 31. 12. 2022,</w:t>
      </w:r>
      <w:r w:rsidRPr="009F71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2. část poskytnuté dotace od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1. 1. 2023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nejpozději do 31. 12. 2023, 3. část poskytnuté dotace od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1. 1. 2024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nejpozději do 31. 12. 2024.</w:t>
      </w:r>
    </w:p>
    <w:p w14:paraId="6583E4DE" w14:textId="77777777" w:rsidR="009F711A" w:rsidRPr="009F711A" w:rsidRDefault="009F711A" w:rsidP="009F711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činnost byla realizována v termínu před obdržením dotace, je příjemce povinen použít poskytnutou dotaci nejpozději do dvou měsíců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po obdržení dotace ze strany poskytovatele.</w:t>
      </w:r>
    </w:p>
    <w:p w14:paraId="0FF00D04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2022 do nabytí účinnosti této smlouvy.</w:t>
      </w:r>
    </w:p>
    <w:p w14:paraId="0730094E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a podmínek použití poskytnuté dotace. Při této kontrole je příjemce povinen vyvíjet veškerou poskytovatelem požadovanou součinnost.</w:t>
      </w:r>
    </w:p>
    <w:p w14:paraId="58E1A750" w14:textId="77777777" w:rsidR="009F711A" w:rsidRPr="009F711A" w:rsidRDefault="009F711A" w:rsidP="009F711A">
      <w:pPr>
        <w:numPr>
          <w:ilvl w:val="0"/>
          <w:numId w:val="4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9F711A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1. části poskytnuté dotace; do </w:t>
      </w:r>
      <w:r w:rsidRPr="009F711A">
        <w:rPr>
          <w:rFonts w:ascii="Arial" w:eastAsia="Times New Roman" w:hAnsi="Arial" w:cs="Arial"/>
          <w:b/>
          <w:sz w:val="24"/>
          <w:szCs w:val="24"/>
          <w:lang w:eastAsia="cs-CZ"/>
        </w:rPr>
        <w:t>31. 1. 2024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2. části poskytnuté dotace; do </w:t>
      </w:r>
      <w:r w:rsidRPr="009F711A">
        <w:rPr>
          <w:rFonts w:ascii="Arial" w:eastAsia="Times New Roman" w:hAnsi="Arial" w:cs="Arial"/>
          <w:b/>
          <w:sz w:val="24"/>
          <w:szCs w:val="24"/>
          <w:lang w:eastAsia="cs-CZ"/>
        </w:rPr>
        <w:t>31. 1. 2025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závěrečné vyúčtování poskytnuté dotace (dále jen „vyúčtování“) a to prostřednictvím systému, v němž příjemce podal žádost o poskytnutí této dotace, a to buď elektronicky zasláním do datové schránky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3DC87D2" w14:textId="77777777" w:rsidR="009F711A" w:rsidRPr="009F711A" w:rsidRDefault="009F711A" w:rsidP="009F711A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Vyúčtování 1. a 2. části dotace musí obsahovat:</w:t>
      </w:r>
    </w:p>
    <w:p w14:paraId="1E536260" w14:textId="77777777" w:rsidR="009F711A" w:rsidRPr="009F711A" w:rsidRDefault="009F711A" w:rsidP="009F711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ve vzoru vyúčtování dotace, který je zveřejněn v systému RAP. Tento soupis výdajů bude doložen:</w:t>
      </w:r>
    </w:p>
    <w:p w14:paraId="7FF1C39B" w14:textId="77777777" w:rsidR="009F711A" w:rsidRPr="009F711A" w:rsidRDefault="009F711A" w:rsidP="009F711A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8E9FD21" w14:textId="77777777" w:rsidR="009F711A" w:rsidRPr="009F711A" w:rsidRDefault="009F711A" w:rsidP="009F711A">
      <w:pPr>
        <w:spacing w:after="120"/>
        <w:ind w:left="1647"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Závěrečné vyúčtování (za celé tříletí období) musí obsahovat:</w:t>
      </w:r>
    </w:p>
    <w:p w14:paraId="43A0C383" w14:textId="77777777" w:rsidR="009F711A" w:rsidRPr="009F711A" w:rsidRDefault="009F711A" w:rsidP="009F711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ve vzoru vyúčtování dotace, který je zveřejněn v systému RAP. Tento soupis výdajů bude doložen:</w:t>
      </w:r>
    </w:p>
    <w:p w14:paraId="0979616B" w14:textId="77777777" w:rsidR="009F711A" w:rsidRPr="009F711A" w:rsidRDefault="009F711A" w:rsidP="009F711A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109AFDC5" w14:textId="77777777" w:rsidR="009F711A" w:rsidRPr="009F711A" w:rsidRDefault="009F711A" w:rsidP="009F71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063560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Společně s vyúčtováním první a druhé části poskytnuté dotace příjemce předloží poskytovateli průběžnou zprávu a to v listinné podobě doručením na adresu poskytovatele, uvedenou v záhlaví této smlouvy.</w:t>
      </w:r>
    </w:p>
    <w:p w14:paraId="7A3A704C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Průběžná zpráva v písemné podobě musí obsahovat vyhodnocení části projektu za období, na které byla poskytnuta konkrétní část dotace, naplnění koncepce projektu, přínosy projektu pro Olomoucký kraj, výstupy projektu pro veřejnost a vyhodnocení propagace Olomouckého kraje.</w:t>
      </w:r>
    </w:p>
    <w:p w14:paraId="2EF31E4E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Spolu s průběžnou zprávou a vyúčtováním je příjemce povinen předložit poskytovateli stručné zhodnocení činnosti příjemce včetně jejího přínosu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 Olomoucký kraj a fotodokumentaci užití loga Olomouckého kraje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dle čl. 10 této smlouvy</w:t>
      </w:r>
      <w:r w:rsidRPr="009F711A">
        <w:rPr>
          <w:rFonts w:ascii="Arial" w:hAnsi="Arial" w:cs="Arial"/>
          <w:i/>
          <w:iCs/>
          <w:sz w:val="24"/>
          <w:szCs w:val="24"/>
        </w:rPr>
        <w:t>.</w:t>
      </w:r>
    </w:p>
    <w:p w14:paraId="3FDE5234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Společně se závěrečným vyúčtováním (za celé tříleté období) přeloží příjemce dotace závěrečnou zprávu, která musí obsahovat označení příjemce, označení činnosti a stručné zhodnocení činnosti příjemce včetně jejího přínosu pro Olomoucký kraj a fotodokumentaci užití loga Olomouckého kraje dle čl. 10 této smlouvy. Bude doručena v listinné formě na adresu poskytovatele, uvedenou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v záhlaví této smlouvy.</w:t>
      </w:r>
    </w:p>
    <w:p w14:paraId="4F0473C0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o rozpočtových pravidlech územních rozpočtů, ve znění pozdějších předpisů.</w:t>
      </w:r>
    </w:p>
    <w:p w14:paraId="78D964F0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4702435F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F711A" w:rsidRPr="009F711A" w14:paraId="3ECF12DB" w14:textId="77777777" w:rsidTr="009F711A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7AD7" w14:textId="77777777" w:rsidR="009F711A" w:rsidRPr="009F711A" w:rsidRDefault="009F711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5016" w14:textId="77777777" w:rsidR="009F711A" w:rsidRPr="009F711A" w:rsidRDefault="009F711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6A54EDB" w14:textId="77777777" w:rsidR="009F711A" w:rsidRPr="009F711A" w:rsidRDefault="009F711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F711A" w:rsidRPr="009F711A" w14:paraId="38D6F1D6" w14:textId="77777777" w:rsidTr="009F711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3998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547C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711A" w:rsidRPr="009F711A" w14:paraId="070DEF33" w14:textId="77777777" w:rsidTr="009F711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81F3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0DA3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711A" w:rsidRPr="009F711A" w14:paraId="36F5AE41" w14:textId="77777777" w:rsidTr="009F711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27DB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DC78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F711A" w:rsidRPr="009F711A" w14:paraId="3E4586DC" w14:textId="77777777" w:rsidTr="009F711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B21B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7C05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711A" w:rsidRPr="009F711A" w14:paraId="14E7F48C" w14:textId="77777777" w:rsidTr="009F711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84DC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A4B7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711A" w:rsidRPr="009F711A" w14:paraId="1B76A010" w14:textId="77777777" w:rsidTr="009F711A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6046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26DC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711A" w:rsidRPr="009F711A" w14:paraId="6B38F338" w14:textId="77777777" w:rsidTr="009F711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4CFF" w14:textId="77777777" w:rsidR="009F711A" w:rsidRPr="009F711A" w:rsidRDefault="009F711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9B8B" w14:textId="77777777" w:rsidR="009F711A" w:rsidRPr="009F711A" w:rsidRDefault="009F711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2D78F61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2A41C3C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část, kdy obdržel příslušnou část dotace připadající na jednotlivý kalendářní rok na účet poskytovatele č. </w:t>
      </w:r>
      <w:r w:rsidRPr="009F711A">
        <w:rPr>
          <w:rFonts w:ascii="Arial" w:hAnsi="Arial" w:cs="Arial"/>
          <w:sz w:val="24"/>
          <w:szCs w:val="24"/>
        </w:rPr>
        <w:t>27-4228330207/0100.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F711A">
        <w:rPr>
          <w:rFonts w:ascii="Arial" w:hAnsi="Arial" w:cs="Arial"/>
          <w:sz w:val="24"/>
          <w:szCs w:val="24"/>
        </w:rPr>
        <w:t>V případě, že je vratka realizována v </w:t>
      </w:r>
      <w:proofErr w:type="spellStart"/>
      <w:r w:rsidRPr="009F711A">
        <w:rPr>
          <w:rFonts w:ascii="Arial" w:hAnsi="Arial" w:cs="Arial"/>
          <w:sz w:val="24"/>
          <w:szCs w:val="24"/>
        </w:rPr>
        <w:t>následjících</w:t>
      </w:r>
      <w:proofErr w:type="spellEnd"/>
      <w:r w:rsidRPr="009F711A">
        <w:rPr>
          <w:rFonts w:ascii="Arial" w:hAnsi="Arial" w:cs="Arial"/>
          <w:sz w:val="24"/>
          <w:szCs w:val="24"/>
        </w:rPr>
        <w:t xml:space="preserve"> letech 2023 a 2024, pak se použije příjmový účet 27-4228320287/0100. Případný odvod či penále se hradí na účet poskytovatele č. 27-4228320287/0100. Do variabilního symbolu platby je příjemce povinen uvést účelový znak dotačního programu – 651.</w:t>
      </w:r>
    </w:p>
    <w:p w14:paraId="0CDBF2C8" w14:textId="77777777" w:rsidR="009F711A" w:rsidRPr="009F711A" w:rsidRDefault="009F711A" w:rsidP="009F711A">
      <w:pPr>
        <w:numPr>
          <w:ilvl w:val="0"/>
          <w:numId w:val="4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ve vztahu k poskytnuté dotaci. V případě přeměny příjemce, který je právnickou osobou, nebo jeho zrušení s likvidací, je příjemce povinen o této skutečnosti poskytovatele předem informovat.</w:t>
      </w:r>
    </w:p>
    <w:p w14:paraId="6CFDA9FC" w14:textId="77777777" w:rsidR="009F711A" w:rsidRPr="009F711A" w:rsidRDefault="009F711A" w:rsidP="009F711A">
      <w:pPr>
        <w:numPr>
          <w:ilvl w:val="0"/>
          <w:numId w:val="4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tří let od data poskytnutí dotace dále je příjemce povinen označit propagační materiály, vztahující se k účelu dotace, logem poskytovatele (jsou-li vydávány), a umístit reklamní panel nebo obdobné zařízení, s logem poskytovatele do místa,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ve kterém je prováděna podpořená činnost, po dobu minimálně tří let od data poskytnutí dotace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že poskytovatel akci finančně podpořil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A6F25C0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při činnosti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750824AB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4739FDE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72C8E947" w14:textId="77777777" w:rsidR="009F711A" w:rsidRPr="009F711A" w:rsidRDefault="009F711A" w:rsidP="009F711A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  <w:t xml:space="preserve">ze skutečností, pro kterou nelze poskytnout dotaci dle čl. 1 odst. 6 nebo čl. 1 odst. </w:t>
      </w:r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13 Zásad. </w:t>
      </w:r>
      <w:r w:rsidRPr="009F711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Pr="009F711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20AA3CA2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 kterou ve lhůtě stanovené Zásadami neoznámil poskytovateli.</w:t>
      </w:r>
    </w:p>
    <w:p w14:paraId="3DE4E5CC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F71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1509FE0" w14:textId="77777777" w:rsidR="009F711A" w:rsidRPr="009F711A" w:rsidRDefault="009F711A" w:rsidP="009F711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D1202E7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17065068" w14:textId="77777777" w:rsidR="009F711A" w:rsidRPr="009F711A" w:rsidRDefault="009F711A" w:rsidP="009F711A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68475C41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 splnění podmínek Nařízení Komise (EU) č. 1407/2013 ze dne 18. prosince  2013 o použití článků 107 a 108 Smlouvy o fungování Evropské unie na podporu de </w:t>
      </w:r>
      <w:proofErr w:type="spell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4AB057A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FFDE751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č. 1407/2013 ze dne 18. prosince 2013 o použití článků 107 a 108 Smlouvy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o fungování Evropské unie na podporu de </w:t>
      </w:r>
      <w:proofErr w:type="spellStart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AA01200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</w:t>
      </w:r>
      <w:r w:rsidRPr="009F711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v Centrálním registru podpor malého rozsahu.</w:t>
      </w:r>
    </w:p>
    <w:p w14:paraId="79DF6256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 w:rsidRPr="009F711A">
        <w:rPr>
          <w:rFonts w:ascii="Arial" w:hAnsi="Arial" w:cs="Arial"/>
          <w:sz w:val="24"/>
          <w:szCs w:val="24"/>
          <w:lang w:eastAsia="cs-CZ"/>
        </w:rPr>
        <w:br/>
      </w:r>
      <w:r w:rsidRPr="009F711A">
        <w:rPr>
          <w:rFonts w:ascii="Arial" w:hAnsi="Arial" w:cs="Arial"/>
          <w:sz w:val="24"/>
          <w:szCs w:val="24"/>
          <w:lang w:eastAsia="cs-CZ"/>
        </w:rPr>
        <w:lastRenderedPageBreak/>
        <w:t>ve znění pozdějších předpisů. Uveřejnění této smlouvy v registru smluv zajistí poskytovatel.</w:t>
      </w:r>
    </w:p>
    <w:p w14:paraId="09CC835E" w14:textId="77777777" w:rsidR="009F711A" w:rsidRPr="009F711A" w:rsidRDefault="009F711A" w:rsidP="009F711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711A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Pr="009F711A">
        <w:rPr>
          <w:rFonts w:ascii="Arial" w:hAnsi="Arial" w:cs="Arial"/>
          <w:sz w:val="24"/>
          <w:szCs w:val="24"/>
          <w:lang w:eastAsia="cs-CZ"/>
        </w:rPr>
        <w:br/>
        <w:t xml:space="preserve">dle § 10d zákona č. 250/2000 Sb., o rozpočtových pravidlech územních rozpočtů, </w:t>
      </w:r>
      <w:r w:rsidRPr="009F711A">
        <w:rPr>
          <w:rFonts w:ascii="Arial" w:hAnsi="Arial" w:cs="Arial"/>
          <w:sz w:val="24"/>
          <w:szCs w:val="24"/>
          <w:lang w:eastAsia="cs-CZ"/>
        </w:rPr>
        <w:br/>
        <w:t>ve znění pozdějších právních předpisů.</w:t>
      </w:r>
    </w:p>
    <w:p w14:paraId="05D86606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9F711A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59CEA27C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čl. 3 části A odst. 4 písm. e) Zásad, tato smlouva zaniká nepředložením originálu žádosti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>o dotaci poskytovateli nejpozději v den, kdy je poskytovateli doručena tato oboustranně podepsaná smlouva.</w:t>
      </w:r>
    </w:p>
    <w:p w14:paraId="673C52A0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03AAD54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61823E4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způsobech zpracování a právech příjemce při zpracování osobních údajů jsou zveřejněny na webových stránkách Olomouckého kraje </w:t>
      </w:r>
      <w:hyperlink r:id="rId8" w:history="1">
        <w:r w:rsidRPr="009F711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F71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5BA64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6C82FD" w14:textId="77777777" w:rsidR="009F711A" w:rsidRPr="009F711A" w:rsidRDefault="009F711A" w:rsidP="009F711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čl. 3 část A odst. 4 písm. b) Zásad). V tomto případě bude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br/>
        <w:t>ze smlouvy vypuštěna i následující podpisová část, místo které bude uveden text „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9F711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26EA1CFF" w14:textId="77777777" w:rsidR="009F711A" w:rsidRPr="009F711A" w:rsidRDefault="009F711A" w:rsidP="009F711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F711A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F711A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F711A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F711A" w:rsidRPr="009F711A" w14:paraId="6E79490F" w14:textId="77777777" w:rsidTr="009F711A">
        <w:trPr>
          <w:trHeight w:val="186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2A7D" w14:textId="77777777" w:rsidR="009F711A" w:rsidRPr="009F711A" w:rsidRDefault="009F711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6D60508" w14:textId="77777777" w:rsidR="009F711A" w:rsidRPr="009F711A" w:rsidRDefault="009F711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BD50D" w14:textId="77777777" w:rsidR="009F711A" w:rsidRPr="009F711A" w:rsidRDefault="009F711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F711A" w:rsidRPr="009F711A" w14:paraId="3D3724F6" w14:textId="77777777" w:rsidTr="009F711A">
        <w:trPr>
          <w:trHeight w:val="1641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4AFAC" w14:textId="77777777" w:rsidR="009F711A" w:rsidRPr="009F711A" w:rsidRDefault="009F711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F0430A0" w14:textId="77777777" w:rsidR="009F711A" w:rsidRPr="009F711A" w:rsidRDefault="009F711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F711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Michal </w:t>
            </w:r>
            <w:proofErr w:type="spellStart"/>
            <w:proofErr w:type="gramStart"/>
            <w:r w:rsidRPr="009F711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Zácha,DiS</w:t>
            </w:r>
            <w:proofErr w:type="spellEnd"/>
            <w:proofErr w:type="gramEnd"/>
            <w:r w:rsidRPr="009F711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.</w:t>
            </w:r>
          </w:p>
          <w:p w14:paraId="0ECA4D7C" w14:textId="77777777" w:rsidR="009F711A" w:rsidRPr="009F711A" w:rsidRDefault="009F711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F711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020B3C22" w14:textId="77777777" w:rsidR="009F711A" w:rsidRPr="009F711A" w:rsidRDefault="009F711A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E8CAB" w14:textId="77777777" w:rsidR="009F711A" w:rsidRPr="009F711A" w:rsidRDefault="009F711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F71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791BB9E" w14:textId="77777777" w:rsidR="009F711A" w:rsidRPr="009F711A" w:rsidRDefault="009F711A" w:rsidP="009F711A">
      <w:pPr>
        <w:ind w:left="0" w:firstLine="0"/>
        <w:rPr>
          <w:rFonts w:ascii="Arial" w:hAnsi="Arial" w:cs="Arial"/>
          <w:bCs/>
        </w:rPr>
      </w:pPr>
    </w:p>
    <w:p w14:paraId="5E571C8C" w14:textId="18FC5B0C" w:rsidR="00DA1381" w:rsidRPr="009F711A" w:rsidRDefault="00DA1381" w:rsidP="009F711A"/>
    <w:sectPr w:rsidR="00DA1381" w:rsidRPr="009F711A" w:rsidSect="00AE010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1D791F48" w:rsidR="001A0DDF" w:rsidRPr="001A0DDF" w:rsidRDefault="00AE0107" w:rsidP="00AE0107">
        <w:pPr>
          <w:tabs>
            <w:tab w:val="left" w:pos="315"/>
            <w:tab w:val="center" w:pos="4536"/>
            <w:tab w:val="right" w:pos="9070"/>
          </w:tabs>
          <w:ind w:left="0" w:firstLine="0"/>
          <w:jc w:val="center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 w:rsidR="001A0DDF" w:rsidRPr="00AE0107">
          <w:rPr>
            <w:rFonts w:ascii="Arial" w:hAnsi="Arial" w:cs="Arial"/>
            <w:sz w:val="20"/>
            <w:szCs w:val="20"/>
          </w:rPr>
          <w:t xml:space="preserve"> </w:t>
        </w:r>
        <w:r w:rsidR="001A0DDF" w:rsidRPr="00AE0107">
          <w:rPr>
            <w:rFonts w:ascii="Arial" w:hAnsi="Arial" w:cs="Arial"/>
            <w:sz w:val="20"/>
            <w:szCs w:val="20"/>
          </w:rPr>
          <w:fldChar w:fldCharType="begin"/>
        </w:r>
        <w:r w:rsidR="001A0DDF" w:rsidRPr="00AE0107">
          <w:rPr>
            <w:rFonts w:ascii="Arial" w:hAnsi="Arial" w:cs="Arial"/>
            <w:sz w:val="20"/>
            <w:szCs w:val="20"/>
          </w:rPr>
          <w:instrText>PAGE   \* MERGEFORMAT</w:instrText>
        </w:r>
        <w:r w:rsidR="001A0DDF" w:rsidRPr="00AE010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8</w:t>
        </w:r>
        <w:r w:rsidR="001A0DDF" w:rsidRPr="00AE0107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</w:p>
    </w:sdtContent>
  </w:sdt>
  <w:p w14:paraId="50C25324" w14:textId="710B1C65" w:rsidR="00956827" w:rsidRPr="00956827" w:rsidRDefault="00956827" w:rsidP="00956827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7548" w14:textId="392111C7" w:rsidR="008B16C8" w:rsidRPr="008B16C8" w:rsidRDefault="008B16C8" w:rsidP="008B16C8">
    <w:pPr>
      <w:pStyle w:val="Zpat"/>
      <w:ind w:left="720"/>
      <w:jc w:val="center"/>
      <w:rPr>
        <w:rFonts w:ascii="Arial" w:hAnsi="Arial" w:cs="Arial"/>
        <w:i/>
      </w:rPr>
    </w:pPr>
    <w:r w:rsidRPr="008B16C8">
      <w:rPr>
        <w:rFonts w:ascii="Arial" w:hAnsi="Arial" w:cs="Arial"/>
        <w:i/>
      </w:rPr>
      <w:t xml:space="preserve">Vzor veřejnoprávní smlouvy </w:t>
    </w:r>
    <w:r w:rsidRPr="009719B8">
      <w:rPr>
        <w:rFonts w:ascii="Arial" w:hAnsi="Arial" w:cs="Arial"/>
        <w:i/>
      </w:rPr>
      <w:t xml:space="preserve">06_09_02 </w:t>
    </w:r>
    <w:r w:rsidR="00AE0107">
      <w:rPr>
        <w:rFonts w:ascii="Arial" w:hAnsi="Arial" w:cs="Arial"/>
        <w:i/>
      </w:rPr>
      <w:t>právnická osoba</w:t>
    </w:r>
  </w:p>
  <w:p w14:paraId="45EBC502" w14:textId="77777777" w:rsidR="00956827" w:rsidRDefault="00956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D20397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BA37572"/>
    <w:multiLevelType w:val="multilevel"/>
    <w:tmpl w:val="F93E79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33"/>
  </w:num>
  <w:num w:numId="44">
    <w:abstractNumId w:val="16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773D9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64FB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66D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6227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7B5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A7BA4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6B2F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265D1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22A4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70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053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6C8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37ED8"/>
    <w:rsid w:val="00946358"/>
    <w:rsid w:val="009463E3"/>
    <w:rsid w:val="00946BBE"/>
    <w:rsid w:val="00953119"/>
    <w:rsid w:val="00953452"/>
    <w:rsid w:val="00954A5D"/>
    <w:rsid w:val="00955EF2"/>
    <w:rsid w:val="0095627A"/>
    <w:rsid w:val="00956827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19B8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11A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107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6FB0"/>
    <w:rsid w:val="00B37882"/>
    <w:rsid w:val="00B37EF1"/>
    <w:rsid w:val="00B401A0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8778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3B9F"/>
    <w:rsid w:val="00C04038"/>
    <w:rsid w:val="00C063A4"/>
    <w:rsid w:val="00C0680B"/>
    <w:rsid w:val="00C06BFA"/>
    <w:rsid w:val="00C076A4"/>
    <w:rsid w:val="00C11B75"/>
    <w:rsid w:val="00C11E80"/>
    <w:rsid w:val="00C123D6"/>
    <w:rsid w:val="00C155AD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1E9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1B80"/>
    <w:rsid w:val="00EE2726"/>
    <w:rsid w:val="00EE2CEC"/>
    <w:rsid w:val="00EE35A0"/>
    <w:rsid w:val="00EE420D"/>
    <w:rsid w:val="00EE488A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1201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32F2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95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FF2A-D939-49EB-83FF-2CEBFCEE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3147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22</cp:revision>
  <cp:lastPrinted>2021-12-16T11:37:00Z</cp:lastPrinted>
  <dcterms:created xsi:type="dcterms:W3CDTF">2021-10-26T06:00:00Z</dcterms:created>
  <dcterms:modified xsi:type="dcterms:W3CDTF">2021-12-16T11:37:00Z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